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4" w:type="dxa"/>
        <w:tblInd w:w="-284" w:type="dxa"/>
        <w:tblLayout w:type="fixed"/>
        <w:tblCellMar>
          <w:left w:w="0" w:type="dxa"/>
          <w:right w:w="0" w:type="dxa"/>
        </w:tblCellMar>
        <w:tblLook w:val="0000" w:firstRow="0" w:lastRow="0" w:firstColumn="0" w:lastColumn="0" w:noHBand="0" w:noVBand="0"/>
      </w:tblPr>
      <w:tblGrid>
        <w:gridCol w:w="3254"/>
        <w:gridCol w:w="6390"/>
      </w:tblGrid>
      <w:tr w:rsidR="00277420" w:rsidRPr="000F2FDF" w14:paraId="18DA3F9D" w14:textId="77777777" w:rsidTr="003D044F">
        <w:trPr>
          <w:trHeight w:val="851"/>
        </w:trPr>
        <w:tc>
          <w:tcPr>
            <w:tcW w:w="3254" w:type="dxa"/>
            <w:tcMar>
              <w:top w:w="0" w:type="dxa"/>
              <w:left w:w="108" w:type="dxa"/>
              <w:bottom w:w="0" w:type="dxa"/>
              <w:right w:w="108" w:type="dxa"/>
            </w:tcMar>
          </w:tcPr>
          <w:p w14:paraId="188D74B3" w14:textId="77777777" w:rsidR="00277420" w:rsidRPr="000F2FDF" w:rsidRDefault="00277420" w:rsidP="00F73EBD">
            <w:pPr>
              <w:jc w:val="center"/>
            </w:pPr>
            <w:r w:rsidRPr="000F2FDF">
              <w:rPr>
                <w:b/>
                <w:bCs/>
                <w:noProof/>
              </w:rPr>
              <mc:AlternateContent>
                <mc:Choice Requires="wps">
                  <w:drawing>
                    <wp:anchor distT="0" distB="0" distL="114300" distR="114300" simplePos="0" relativeHeight="251661312" behindDoc="0" locked="0" layoutInCell="1" allowOverlap="1" wp14:anchorId="500892FA" wp14:editId="0D5E0ED6">
                      <wp:simplePos x="0" y="0"/>
                      <wp:positionH relativeFrom="column">
                        <wp:posOffset>627075</wp:posOffset>
                      </wp:positionH>
                      <wp:positionV relativeFrom="paragraph">
                        <wp:posOffset>422910</wp:posOffset>
                      </wp:positionV>
                      <wp:extent cx="641985" cy="0"/>
                      <wp:effectExtent l="0" t="0" r="2476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AE158B" id="_x0000_t32" coordsize="21600,21600" o:spt="32" o:oned="t" path="m,l21600,21600e" filled="f">
                      <v:path arrowok="t" fillok="f" o:connecttype="none"/>
                      <o:lock v:ext="edit" shapetype="t"/>
                    </v:shapetype>
                    <v:shape id="Straight Arrow Connector 6" o:spid="_x0000_s1026" type="#_x0000_t32" style="position:absolute;margin-left:49.4pt;margin-top:33.3pt;width:50.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"/>
                  </w:pict>
                </mc:Fallback>
              </mc:AlternateContent>
            </w:r>
            <w:r w:rsidRPr="000F2FDF">
              <w:rPr>
                <w:b/>
                <w:bCs/>
              </w:rPr>
              <w:t>HỘI ĐỒNG NHÂN DÂN</w:t>
            </w:r>
            <w:r w:rsidRPr="000F2FDF">
              <w:rPr>
                <w:b/>
                <w:bCs/>
              </w:rPr>
              <w:br/>
              <w:t>TỈNH BÌNH DƯƠNG</w:t>
            </w:r>
          </w:p>
        </w:tc>
        <w:tc>
          <w:tcPr>
            <w:tcW w:w="6390" w:type="dxa"/>
            <w:tcMar>
              <w:top w:w="0" w:type="dxa"/>
              <w:left w:w="108" w:type="dxa"/>
              <w:bottom w:w="0" w:type="dxa"/>
              <w:right w:w="108" w:type="dxa"/>
            </w:tcMar>
          </w:tcPr>
          <w:p w14:paraId="05C2AFAD" w14:textId="77777777" w:rsidR="00277420" w:rsidRPr="000F2FDF" w:rsidRDefault="00277420" w:rsidP="00F73EBD">
            <w:pPr>
              <w:jc w:val="center"/>
            </w:pPr>
            <w:r w:rsidRPr="000F2FDF">
              <w:rPr>
                <w:b/>
                <w:bCs/>
                <w:noProof/>
              </w:rPr>
              <mc:AlternateContent>
                <mc:Choice Requires="wps">
                  <w:drawing>
                    <wp:anchor distT="0" distB="0" distL="114300" distR="114300" simplePos="0" relativeHeight="251662336" behindDoc="0" locked="0" layoutInCell="1" allowOverlap="1" wp14:anchorId="0C4B7519" wp14:editId="240916B3">
                      <wp:simplePos x="0" y="0"/>
                      <wp:positionH relativeFrom="column">
                        <wp:posOffset>861695</wp:posOffset>
                      </wp:positionH>
                      <wp:positionV relativeFrom="paragraph">
                        <wp:posOffset>441960</wp:posOffset>
                      </wp:positionV>
                      <wp:extent cx="2139950" cy="0"/>
                      <wp:effectExtent l="0" t="0" r="317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DFDB4" id="_x0000_t32" coordsize="21600,21600" o:spt="32" o:oned="t" path="m,l21600,21600e" filled="f">
                      <v:path arrowok="t" fillok="f" o:connecttype="none"/>
                      <o:lock v:ext="edit" shapetype="t"/>
                    </v:shapetype>
                    <v:shape id="Straight Arrow Connector 5" o:spid="_x0000_s1026" type="#_x0000_t32" style="position:absolute;margin-left:67.85pt;margin-top:34.8pt;width:16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Q5JQIAAEo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"/>
                  </w:pict>
                </mc:Fallback>
              </mc:AlternateContent>
            </w:r>
            <w:r w:rsidRPr="000F2FDF">
              <w:rPr>
                <w:b/>
                <w:bCs/>
              </w:rPr>
              <w:t>CỘNG HÒA XÃ HỘI CHỦ NGHĨA VIỆT NAM</w:t>
            </w:r>
            <w:r w:rsidRPr="000F2FDF">
              <w:rPr>
                <w:b/>
                <w:bCs/>
              </w:rPr>
              <w:br/>
              <w:t>Độc lập - Tự do - Hạnh phúc</w:t>
            </w:r>
          </w:p>
        </w:tc>
      </w:tr>
      <w:tr w:rsidR="00277420" w:rsidRPr="000F2FDF" w14:paraId="18D5757A" w14:textId="77777777" w:rsidTr="003D044F">
        <w:tc>
          <w:tcPr>
            <w:tcW w:w="3254" w:type="dxa"/>
            <w:tcMar>
              <w:top w:w="0" w:type="dxa"/>
              <w:left w:w="108" w:type="dxa"/>
              <w:bottom w:w="0" w:type="dxa"/>
              <w:right w:w="108" w:type="dxa"/>
            </w:tcMar>
          </w:tcPr>
          <w:p w14:paraId="07C7339E" w14:textId="1239C074" w:rsidR="00277420" w:rsidRPr="000F2FDF" w:rsidRDefault="00277420" w:rsidP="00F73EBD">
            <w:pPr>
              <w:jc w:val="center"/>
            </w:pPr>
            <w:r w:rsidRPr="000F2FDF">
              <w:t xml:space="preserve">Số: </w:t>
            </w:r>
            <w:r w:rsidR="00055C29">
              <w:t>31</w:t>
            </w:r>
            <w:r w:rsidRPr="000F2FDF">
              <w:t>/2024/NQ-HĐND</w:t>
            </w:r>
          </w:p>
        </w:tc>
        <w:tc>
          <w:tcPr>
            <w:tcW w:w="6390" w:type="dxa"/>
            <w:tcMar>
              <w:top w:w="0" w:type="dxa"/>
              <w:left w:w="108" w:type="dxa"/>
              <w:bottom w:w="0" w:type="dxa"/>
              <w:right w:w="108" w:type="dxa"/>
            </w:tcMar>
          </w:tcPr>
          <w:p w14:paraId="0013F61D" w14:textId="2E02E633" w:rsidR="00277420" w:rsidRPr="000F2FDF" w:rsidRDefault="00277420" w:rsidP="0036351F">
            <w:pPr>
              <w:jc w:val="center"/>
              <w:rPr>
                <w:i/>
              </w:rPr>
            </w:pPr>
            <w:r w:rsidRPr="000F2FDF">
              <w:rPr>
                <w:i/>
                <w:iCs/>
              </w:rPr>
              <w:t>Bình Dương, ngày</w:t>
            </w:r>
            <w:r w:rsidR="00055C29">
              <w:rPr>
                <w:i/>
                <w:iCs/>
              </w:rPr>
              <w:t xml:space="preserve"> 11 </w:t>
            </w:r>
            <w:r w:rsidRPr="000F2FDF">
              <w:rPr>
                <w:i/>
                <w:iCs/>
              </w:rPr>
              <w:t xml:space="preserve">tháng </w:t>
            </w:r>
            <w:r w:rsidR="0036351F">
              <w:rPr>
                <w:i/>
                <w:iCs/>
              </w:rPr>
              <w:t>12</w:t>
            </w:r>
            <w:r w:rsidRPr="000F2FDF">
              <w:rPr>
                <w:i/>
                <w:iCs/>
              </w:rPr>
              <w:t xml:space="preserve"> năm 2024</w:t>
            </w:r>
          </w:p>
        </w:tc>
      </w:tr>
    </w:tbl>
    <w:p w14:paraId="0B4171C1" w14:textId="77777777" w:rsidR="00193D56" w:rsidRPr="00651712" w:rsidRDefault="00193D56" w:rsidP="00193D56">
      <w:pPr>
        <w:rPr>
          <w:sz w:val="16"/>
          <w:szCs w:val="16"/>
        </w:rPr>
      </w:pPr>
    </w:p>
    <w:p w14:paraId="68B5A039" w14:textId="77777777" w:rsidR="002B61CA" w:rsidRDefault="002B61CA" w:rsidP="00193D56">
      <w:pPr>
        <w:jc w:val="center"/>
        <w:rPr>
          <w:b/>
        </w:rPr>
      </w:pPr>
    </w:p>
    <w:p w14:paraId="1AD0A3DE" w14:textId="07025DDD" w:rsidR="00193D56" w:rsidRPr="00DA2A56" w:rsidRDefault="00193D56" w:rsidP="000F0454">
      <w:pPr>
        <w:jc w:val="center"/>
        <w:rPr>
          <w:b/>
        </w:rPr>
      </w:pPr>
      <w:r w:rsidRPr="00DA2A56">
        <w:rPr>
          <w:b/>
        </w:rPr>
        <w:t>NGHỊ Q</w:t>
      </w:r>
      <w:bookmarkStart w:id="0" w:name="_GoBack"/>
      <w:bookmarkEnd w:id="0"/>
      <w:r w:rsidRPr="00DA2A56">
        <w:rPr>
          <w:b/>
        </w:rPr>
        <w:t>UYẾT</w:t>
      </w:r>
    </w:p>
    <w:p w14:paraId="04D4E119" w14:textId="027107E1" w:rsidR="002B61CA" w:rsidRPr="00DA2A56" w:rsidRDefault="00531218" w:rsidP="004C168E">
      <w:pPr>
        <w:jc w:val="center"/>
        <w:rPr>
          <w:rStyle w:val="fontstyle01"/>
          <w:rFonts w:ascii="Times New Roman" w:hAnsi="Times New Roman"/>
          <w:b/>
        </w:rPr>
      </w:pPr>
      <w:r w:rsidRPr="00DA2A56">
        <w:rPr>
          <w:b/>
        </w:rPr>
        <w:t xml:space="preserve">Quy </w:t>
      </w:r>
      <w:r w:rsidR="002B61CA" w:rsidRPr="00DA2A56">
        <w:rPr>
          <w:b/>
        </w:rPr>
        <w:t xml:space="preserve">định </w:t>
      </w:r>
      <w:r w:rsidR="002B61CA" w:rsidRPr="00DA2A56">
        <w:rPr>
          <w:rStyle w:val="fontstyle01"/>
          <w:rFonts w:ascii="Times New Roman" w:hAnsi="Times New Roman"/>
          <w:b/>
        </w:rPr>
        <w:t xml:space="preserve">chính sách hỗ trợ cho </w:t>
      </w:r>
      <w:r w:rsidRPr="00DA2A56">
        <w:rPr>
          <w:rStyle w:val="fontstyle01"/>
          <w:rFonts w:ascii="Times New Roman" w:hAnsi="Times New Roman"/>
          <w:b/>
        </w:rPr>
        <w:t>c</w:t>
      </w:r>
      <w:r w:rsidR="002B61CA" w:rsidRPr="00DA2A56">
        <w:rPr>
          <w:rStyle w:val="fontstyle01"/>
          <w:rFonts w:ascii="Times New Roman" w:hAnsi="Times New Roman"/>
          <w:b/>
        </w:rPr>
        <w:t>ác</w:t>
      </w:r>
      <w:r w:rsidRPr="00DA2A56">
        <w:rPr>
          <w:rStyle w:val="fontstyle01"/>
          <w:rFonts w:ascii="Times New Roman" w:hAnsi="Times New Roman"/>
          <w:b/>
        </w:rPr>
        <w:t xml:space="preserve"> </w:t>
      </w:r>
      <w:r w:rsidR="002B61CA" w:rsidRPr="00DA2A56">
        <w:rPr>
          <w:rStyle w:val="fontstyle01"/>
          <w:rFonts w:ascii="Times New Roman" w:hAnsi="Times New Roman"/>
          <w:b/>
        </w:rPr>
        <w:t>cơ quan tư pháp trong việc</w:t>
      </w:r>
      <w:r w:rsidR="004C168E">
        <w:rPr>
          <w:rStyle w:val="fontstyle01"/>
          <w:rFonts w:ascii="Times New Roman" w:hAnsi="Times New Roman"/>
          <w:b/>
        </w:rPr>
        <w:br/>
      </w:r>
      <w:r w:rsidR="002B61CA" w:rsidRPr="00DA2A56">
        <w:rPr>
          <w:rStyle w:val="fontstyle01"/>
          <w:rFonts w:ascii="Times New Roman" w:hAnsi="Times New Roman"/>
          <w:b/>
        </w:rPr>
        <w:t xml:space="preserve"> giải quyết án hành chính, án dân sự chung</w:t>
      </w:r>
      <w:r w:rsidR="00501DCE" w:rsidRPr="00DA2A56">
        <w:rPr>
          <w:rStyle w:val="fontstyle01"/>
          <w:rFonts w:ascii="Times New Roman" w:hAnsi="Times New Roman"/>
          <w:b/>
        </w:rPr>
        <w:t xml:space="preserve"> trên địa bàn tỉnh Bình Dương</w:t>
      </w:r>
    </w:p>
    <w:p w14:paraId="75CC2717" w14:textId="13EE0BEA" w:rsidR="00193D56" w:rsidRPr="003D044F" w:rsidRDefault="003D044F" w:rsidP="000F0454">
      <w:pPr>
        <w:tabs>
          <w:tab w:val="left" w:pos="-3840"/>
        </w:tabs>
        <w:jc w:val="center"/>
        <w:rPr>
          <w:lang w:val="vi-VN"/>
        </w:rPr>
      </w:pPr>
      <w:r>
        <w:rPr>
          <w:lang w:val="vi-VN"/>
        </w:rPr>
        <w:t>_____________________</w:t>
      </w:r>
    </w:p>
    <w:p w14:paraId="3404813C" w14:textId="77777777" w:rsidR="00193D56" w:rsidRPr="00DA2A56" w:rsidRDefault="00193D56" w:rsidP="000F0454">
      <w:pPr>
        <w:pStyle w:val="BodyText"/>
        <w:jc w:val="center"/>
        <w:rPr>
          <w:b/>
          <w:color w:val="auto"/>
          <w:sz w:val="16"/>
          <w:szCs w:val="16"/>
        </w:rPr>
      </w:pPr>
    </w:p>
    <w:p w14:paraId="2BDEB995" w14:textId="77777777" w:rsidR="00193D56" w:rsidRPr="00DA2A56" w:rsidRDefault="00193D56" w:rsidP="003D044F">
      <w:pPr>
        <w:pStyle w:val="BodyText"/>
        <w:spacing w:before="240"/>
        <w:jc w:val="center"/>
        <w:rPr>
          <w:b/>
          <w:color w:val="auto"/>
        </w:rPr>
      </w:pPr>
      <w:r w:rsidRPr="00DA2A56">
        <w:rPr>
          <w:b/>
          <w:color w:val="auto"/>
        </w:rPr>
        <w:t>HỘI ĐỒNG NHÂN DÂN TỈNH BÌNH DƯƠNG</w:t>
      </w:r>
    </w:p>
    <w:p w14:paraId="1A825A5B" w14:textId="1BB98888" w:rsidR="00193D56" w:rsidRPr="00DA2A56" w:rsidRDefault="002B61CA" w:rsidP="000F0454">
      <w:pPr>
        <w:pStyle w:val="BodyText"/>
        <w:jc w:val="center"/>
        <w:rPr>
          <w:b/>
          <w:color w:val="auto"/>
        </w:rPr>
      </w:pPr>
      <w:r w:rsidRPr="00DA2A56">
        <w:rPr>
          <w:b/>
          <w:color w:val="auto"/>
        </w:rPr>
        <w:t xml:space="preserve">KHÓA </w:t>
      </w:r>
      <w:r w:rsidR="00193D56" w:rsidRPr="00DA2A56">
        <w:rPr>
          <w:b/>
          <w:color w:val="auto"/>
        </w:rPr>
        <w:t xml:space="preserve">X - KỲ HỌP THỨ </w:t>
      </w:r>
      <w:r w:rsidR="003A5314" w:rsidRPr="00DA2A56">
        <w:rPr>
          <w:b/>
          <w:color w:val="auto"/>
        </w:rPr>
        <w:t>19</w:t>
      </w:r>
    </w:p>
    <w:p w14:paraId="15D104A4" w14:textId="77777777" w:rsidR="00193D56" w:rsidRPr="00B80047" w:rsidRDefault="00193D56" w:rsidP="00193D56">
      <w:pPr>
        <w:pStyle w:val="BodyText"/>
        <w:ind w:firstLine="720"/>
        <w:jc w:val="center"/>
        <w:rPr>
          <w:b/>
          <w:color w:val="auto"/>
        </w:rPr>
      </w:pPr>
    </w:p>
    <w:p w14:paraId="0EABC82B" w14:textId="5F2E202E" w:rsidR="00461F44" w:rsidRPr="00D10F4F" w:rsidRDefault="00461F44" w:rsidP="003D044F">
      <w:pPr>
        <w:tabs>
          <w:tab w:val="left" w:pos="1985"/>
        </w:tabs>
        <w:spacing w:before="120" w:after="120"/>
        <w:ind w:firstLine="567"/>
        <w:jc w:val="both"/>
        <w:rPr>
          <w:i/>
        </w:rPr>
      </w:pPr>
      <w:r w:rsidRPr="00D10F4F">
        <w:rPr>
          <w:i/>
        </w:rPr>
        <w:t xml:space="preserve">Căn cứ Luật Tổ chức </w:t>
      </w:r>
      <w:r w:rsidR="005B3CB8">
        <w:rPr>
          <w:i/>
          <w:lang w:val="vi-VN"/>
        </w:rPr>
        <w:t>c</w:t>
      </w:r>
      <w:r w:rsidRPr="00D10F4F">
        <w:rPr>
          <w:i/>
        </w:rPr>
        <w:t xml:space="preserve">hính quyền địa phương ngày 19 tháng 6 năm 2015; </w:t>
      </w:r>
    </w:p>
    <w:p w14:paraId="6F2AE320" w14:textId="77777777" w:rsidR="00461F44" w:rsidRPr="00D10F4F" w:rsidRDefault="00461F44" w:rsidP="003D044F">
      <w:pPr>
        <w:widowControl w:val="0"/>
        <w:tabs>
          <w:tab w:val="left" w:pos="1985"/>
        </w:tabs>
        <w:spacing w:before="120" w:after="120"/>
        <w:ind w:firstLine="567"/>
        <w:jc w:val="both"/>
        <w:rPr>
          <w:i/>
        </w:rPr>
      </w:pPr>
      <w:r w:rsidRPr="00D10F4F">
        <w:rPr>
          <w:i/>
        </w:rPr>
        <w:t>Căn cứ Luật sửa đổi, bổ sung một số điều của Luật Tổ chức Chính phủ và Luật Tổ chức chính quyền địa phương ngày 22 tháng 11 năm 2019;</w:t>
      </w:r>
    </w:p>
    <w:p w14:paraId="5B5823BB" w14:textId="77777777" w:rsidR="00461F44" w:rsidRPr="00D10F4F" w:rsidRDefault="00461F44" w:rsidP="003D044F">
      <w:pPr>
        <w:widowControl w:val="0"/>
        <w:tabs>
          <w:tab w:val="left" w:pos="1985"/>
        </w:tabs>
        <w:spacing w:before="120" w:after="120"/>
        <w:ind w:firstLine="567"/>
        <w:jc w:val="both"/>
        <w:rPr>
          <w:i/>
          <w:spacing w:val="-4"/>
        </w:rPr>
      </w:pPr>
      <w:r w:rsidRPr="00D10F4F">
        <w:rPr>
          <w:i/>
          <w:spacing w:val="-4"/>
        </w:rPr>
        <w:t>Căn cứ Luật Ban hành văn bản quy phạm pháp luật ngày 22 tháng 6 năm 2015;</w:t>
      </w:r>
    </w:p>
    <w:p w14:paraId="5F5FA65B" w14:textId="7C0DA889" w:rsidR="00461F44" w:rsidRDefault="00461F44" w:rsidP="003D044F">
      <w:pPr>
        <w:widowControl w:val="0"/>
        <w:tabs>
          <w:tab w:val="left" w:pos="1985"/>
        </w:tabs>
        <w:spacing w:before="120" w:after="120"/>
        <w:ind w:firstLine="567"/>
        <w:jc w:val="both"/>
        <w:rPr>
          <w:i/>
        </w:rPr>
      </w:pPr>
      <w:r w:rsidRPr="00D10F4F">
        <w:rPr>
          <w:i/>
        </w:rPr>
        <w:t>Căn cứ Luật sửa đổi, bổ sung một số điều của Luật Ban hành văn bản quy phạm pháp luật ngày 18 tháng 6 năm 2020;</w:t>
      </w:r>
    </w:p>
    <w:p w14:paraId="330778BF" w14:textId="74C0F5ED" w:rsidR="00501DCE" w:rsidRDefault="00501DCE" w:rsidP="003D044F">
      <w:pPr>
        <w:widowControl w:val="0"/>
        <w:spacing w:before="120" w:after="120"/>
        <w:ind w:firstLine="567"/>
        <w:jc w:val="both"/>
        <w:rPr>
          <w:i/>
          <w:spacing w:val="4"/>
          <w:lang w:val="vi-VN"/>
        </w:rPr>
      </w:pPr>
      <w:r w:rsidRPr="00D10F4F">
        <w:rPr>
          <w:i/>
        </w:rPr>
        <w:t xml:space="preserve">Căn cứ </w:t>
      </w:r>
      <w:r w:rsidRPr="00501DCE">
        <w:rPr>
          <w:i/>
          <w:spacing w:val="4"/>
          <w:lang w:val="vi-VN"/>
        </w:rPr>
        <w:t>Luật Ngân sách nhà nước ngày 25</w:t>
      </w:r>
      <w:r w:rsidRPr="00501DCE">
        <w:rPr>
          <w:i/>
          <w:spacing w:val="4"/>
        </w:rPr>
        <w:t>/</w:t>
      </w:r>
      <w:r w:rsidRPr="00501DCE">
        <w:rPr>
          <w:i/>
          <w:spacing w:val="4"/>
          <w:lang w:val="vi-VN"/>
        </w:rPr>
        <w:t>6</w:t>
      </w:r>
      <w:r w:rsidRPr="00501DCE">
        <w:rPr>
          <w:i/>
          <w:spacing w:val="4"/>
        </w:rPr>
        <w:t>/</w:t>
      </w:r>
      <w:r w:rsidRPr="00501DCE">
        <w:rPr>
          <w:i/>
          <w:spacing w:val="4"/>
          <w:lang w:val="vi-VN"/>
        </w:rPr>
        <w:t>2015;</w:t>
      </w:r>
    </w:p>
    <w:p w14:paraId="3BC97097" w14:textId="056CC4B1" w:rsidR="00075CA9" w:rsidRPr="00075CA9" w:rsidRDefault="00075CA9" w:rsidP="003D044F">
      <w:pPr>
        <w:tabs>
          <w:tab w:val="left" w:pos="1985"/>
        </w:tabs>
        <w:spacing w:before="120" w:after="120"/>
        <w:ind w:firstLine="567"/>
        <w:jc w:val="both"/>
        <w:rPr>
          <w:i/>
          <w:iCs/>
        </w:rPr>
      </w:pPr>
      <w:r w:rsidRPr="00075CA9">
        <w:rPr>
          <w:i/>
          <w:iCs/>
        </w:rPr>
        <w:t xml:space="preserve">Căn cứ Nghị định </w:t>
      </w:r>
      <w:r w:rsidR="00E62C05">
        <w:rPr>
          <w:i/>
          <w:iCs/>
        </w:rPr>
        <w:t xml:space="preserve">số </w:t>
      </w:r>
      <w:r w:rsidRPr="00075CA9">
        <w:rPr>
          <w:i/>
          <w:iCs/>
        </w:rPr>
        <w:t>163/2016/NĐ-CP ngày 21/12/2016 của Chính phủ quy định chi tiết thi hành một số điều của Luật ngân sách nhà nước;</w:t>
      </w:r>
    </w:p>
    <w:p w14:paraId="6EEFD555" w14:textId="40F97140" w:rsidR="003A5314" w:rsidRPr="000C08BD" w:rsidRDefault="009A28B5" w:rsidP="003D044F">
      <w:pPr>
        <w:tabs>
          <w:tab w:val="right" w:leader="dot" w:pos="8640"/>
        </w:tabs>
        <w:spacing w:before="120" w:after="120"/>
        <w:ind w:firstLine="567"/>
        <w:jc w:val="both"/>
        <w:rPr>
          <w:rFonts w:eastAsia="Arial Unicode MS"/>
          <w:i/>
          <w:spacing w:val="2"/>
          <w:lang w:val="vi-VN" w:eastAsia="vi-VN"/>
        </w:rPr>
      </w:pPr>
      <w:r w:rsidRPr="009A28B5">
        <w:rPr>
          <w:rStyle w:val="fontstyle31"/>
          <w:color w:val="auto"/>
          <w:spacing w:val="-4"/>
          <w:sz w:val="28"/>
          <w:szCs w:val="28"/>
        </w:rPr>
        <w:t>Xét Tờ trình số</w:t>
      </w:r>
      <w:r w:rsidR="005B3CB8">
        <w:rPr>
          <w:rStyle w:val="fontstyle31"/>
          <w:color w:val="auto"/>
          <w:spacing w:val="-4"/>
          <w:sz w:val="28"/>
          <w:szCs w:val="28"/>
          <w:lang w:val="vi-VN"/>
        </w:rPr>
        <w:t xml:space="preserve"> 451</w:t>
      </w:r>
      <w:r w:rsidRPr="009A28B5">
        <w:rPr>
          <w:rStyle w:val="fontstyle31"/>
          <w:color w:val="auto"/>
          <w:spacing w:val="-4"/>
          <w:sz w:val="28"/>
          <w:szCs w:val="28"/>
        </w:rPr>
        <w:t>/TTr-</w:t>
      </w:r>
      <w:r w:rsidR="00461F44">
        <w:rPr>
          <w:rStyle w:val="fontstyle31"/>
          <w:color w:val="auto"/>
          <w:spacing w:val="-4"/>
          <w:sz w:val="28"/>
          <w:szCs w:val="28"/>
        </w:rPr>
        <w:t>HĐND</w:t>
      </w:r>
      <w:r w:rsidRPr="009A28B5">
        <w:rPr>
          <w:rStyle w:val="fontstyle31"/>
          <w:color w:val="auto"/>
          <w:spacing w:val="-4"/>
          <w:sz w:val="28"/>
          <w:szCs w:val="28"/>
        </w:rPr>
        <w:t xml:space="preserve"> ngày </w:t>
      </w:r>
      <w:r w:rsidR="005B3CB8">
        <w:rPr>
          <w:rStyle w:val="fontstyle31"/>
          <w:color w:val="auto"/>
          <w:spacing w:val="-4"/>
          <w:sz w:val="28"/>
          <w:szCs w:val="28"/>
          <w:lang w:val="vi-VN"/>
        </w:rPr>
        <w:t>28</w:t>
      </w:r>
      <w:r w:rsidRPr="009A28B5">
        <w:rPr>
          <w:rStyle w:val="fontstyle31"/>
          <w:color w:val="auto"/>
          <w:spacing w:val="-4"/>
          <w:sz w:val="28"/>
          <w:szCs w:val="28"/>
        </w:rPr>
        <w:t xml:space="preserve"> tháng</w:t>
      </w:r>
      <w:r w:rsidR="00193D56" w:rsidRPr="009A28B5">
        <w:rPr>
          <w:rStyle w:val="fontstyle31"/>
          <w:color w:val="auto"/>
          <w:spacing w:val="-4"/>
          <w:sz w:val="28"/>
          <w:szCs w:val="28"/>
        </w:rPr>
        <w:t xml:space="preserve"> </w:t>
      </w:r>
      <w:r w:rsidR="005B3CB8">
        <w:rPr>
          <w:rStyle w:val="fontstyle31"/>
          <w:color w:val="auto"/>
          <w:spacing w:val="-4"/>
          <w:sz w:val="28"/>
          <w:szCs w:val="28"/>
          <w:lang w:val="vi-VN"/>
        </w:rPr>
        <w:t xml:space="preserve">11 </w:t>
      </w:r>
      <w:r w:rsidR="00193D56" w:rsidRPr="009A28B5">
        <w:rPr>
          <w:rStyle w:val="fontstyle31"/>
          <w:color w:val="auto"/>
          <w:spacing w:val="-4"/>
          <w:sz w:val="28"/>
          <w:szCs w:val="28"/>
        </w:rPr>
        <w:t>năm 202</w:t>
      </w:r>
      <w:r w:rsidR="002B61CA">
        <w:rPr>
          <w:rStyle w:val="fontstyle31"/>
          <w:color w:val="auto"/>
          <w:spacing w:val="-4"/>
          <w:sz w:val="28"/>
          <w:szCs w:val="28"/>
        </w:rPr>
        <w:t>4</w:t>
      </w:r>
      <w:r w:rsidR="00193D56" w:rsidRPr="009A28B5">
        <w:rPr>
          <w:rStyle w:val="fontstyle31"/>
          <w:color w:val="auto"/>
          <w:spacing w:val="-4"/>
          <w:sz w:val="28"/>
          <w:szCs w:val="28"/>
        </w:rPr>
        <w:t xml:space="preserve"> của </w:t>
      </w:r>
      <w:r w:rsidR="002B61CA">
        <w:rPr>
          <w:rStyle w:val="fontstyle31"/>
          <w:color w:val="auto"/>
          <w:spacing w:val="-4"/>
          <w:sz w:val="28"/>
          <w:szCs w:val="28"/>
        </w:rPr>
        <w:t>Ban Ph</w:t>
      </w:r>
      <w:r w:rsidR="002B61CA">
        <w:rPr>
          <w:rStyle w:val="fontstyle31"/>
          <w:rFonts w:hint="eastAsia"/>
          <w:color w:val="auto"/>
          <w:spacing w:val="-4"/>
          <w:sz w:val="28"/>
          <w:szCs w:val="28"/>
        </w:rPr>
        <w:t>á</w:t>
      </w:r>
      <w:r w:rsidR="002B61CA">
        <w:rPr>
          <w:rStyle w:val="fontstyle31"/>
          <w:color w:val="auto"/>
          <w:spacing w:val="-4"/>
          <w:sz w:val="28"/>
          <w:szCs w:val="28"/>
        </w:rPr>
        <w:t>p chế Hội đồng</w:t>
      </w:r>
      <w:r w:rsidR="006F5372">
        <w:rPr>
          <w:rStyle w:val="fontstyle31"/>
          <w:color w:val="auto"/>
          <w:spacing w:val="-4"/>
          <w:sz w:val="28"/>
          <w:szCs w:val="28"/>
        </w:rPr>
        <w:t xml:space="preserve"> nhân dân tỉnh</w:t>
      </w:r>
      <w:r w:rsidR="002B61CA">
        <w:rPr>
          <w:rStyle w:val="fontstyle31"/>
          <w:color w:val="auto"/>
          <w:spacing w:val="-4"/>
          <w:sz w:val="28"/>
          <w:szCs w:val="28"/>
        </w:rPr>
        <w:t xml:space="preserve"> </w:t>
      </w:r>
      <w:r w:rsidR="00876C50">
        <w:rPr>
          <w:rStyle w:val="fontstyle31"/>
          <w:color w:val="auto"/>
          <w:spacing w:val="-4"/>
          <w:sz w:val="28"/>
          <w:szCs w:val="28"/>
          <w:lang w:val="vi-VN"/>
        </w:rPr>
        <w:t>về dự th</w:t>
      </w:r>
      <w:r w:rsidR="00BC58E1">
        <w:rPr>
          <w:rStyle w:val="fontstyle31"/>
          <w:color w:val="auto"/>
          <w:spacing w:val="-4"/>
          <w:sz w:val="28"/>
          <w:szCs w:val="28"/>
          <w:lang w:val="vi-VN"/>
        </w:rPr>
        <w:t xml:space="preserve">ảo nghị quyết </w:t>
      </w:r>
      <w:r w:rsidRPr="009A28B5">
        <w:rPr>
          <w:rStyle w:val="fontstyle31"/>
          <w:color w:val="auto"/>
          <w:spacing w:val="-4"/>
          <w:sz w:val="28"/>
          <w:szCs w:val="28"/>
        </w:rPr>
        <w:t xml:space="preserve">quy định </w:t>
      </w:r>
      <w:r w:rsidR="002B61CA" w:rsidRPr="002B61CA">
        <w:rPr>
          <w:rStyle w:val="fontstyle01"/>
          <w:i/>
        </w:rPr>
        <w:t>chính sách hỗ trợ cho các cơ quan tư pháp trong việc giải quyết</w:t>
      </w:r>
      <w:r w:rsidR="002B61CA">
        <w:rPr>
          <w:rStyle w:val="fontstyle01"/>
          <w:i/>
        </w:rPr>
        <w:t xml:space="preserve"> án hành chính, án dân sự chung</w:t>
      </w:r>
      <w:r w:rsidR="00193D56" w:rsidRPr="009A28B5">
        <w:rPr>
          <w:i/>
          <w:spacing w:val="-4"/>
        </w:rPr>
        <w:t xml:space="preserve"> trên địa bàn tỉnh Bình Dươ</w:t>
      </w:r>
      <w:r w:rsidRPr="009A28B5">
        <w:rPr>
          <w:i/>
          <w:spacing w:val="-4"/>
        </w:rPr>
        <w:t xml:space="preserve">ng; </w:t>
      </w:r>
      <w:r w:rsidR="000C08BD" w:rsidRPr="000C08BD">
        <w:rPr>
          <w:bCs/>
          <w:i/>
          <w:spacing w:val="2"/>
        </w:rPr>
        <w:t>Báo cáo thẩm tra số</w:t>
      </w:r>
      <w:r w:rsidR="000C08BD" w:rsidRPr="000C08BD">
        <w:rPr>
          <w:bCs/>
          <w:i/>
          <w:spacing w:val="2"/>
          <w:lang w:val="vi-VN"/>
        </w:rPr>
        <w:t xml:space="preserve"> 123</w:t>
      </w:r>
      <w:r w:rsidR="000C08BD" w:rsidRPr="000C08BD">
        <w:rPr>
          <w:bCs/>
          <w:i/>
          <w:spacing w:val="2"/>
        </w:rPr>
        <w:t>/BC-HĐND ngày</w:t>
      </w:r>
      <w:r w:rsidR="000C08BD" w:rsidRPr="000C08BD">
        <w:rPr>
          <w:bCs/>
          <w:i/>
          <w:spacing w:val="2"/>
          <w:lang w:val="vi-VN"/>
        </w:rPr>
        <w:t xml:space="preserve"> 05 </w:t>
      </w:r>
      <w:r w:rsidR="000C08BD" w:rsidRPr="000C08BD">
        <w:rPr>
          <w:bCs/>
          <w:i/>
          <w:spacing w:val="2"/>
        </w:rPr>
        <w:t>tháng</w:t>
      </w:r>
      <w:r w:rsidR="000C08BD" w:rsidRPr="000C08BD">
        <w:rPr>
          <w:bCs/>
          <w:i/>
          <w:spacing w:val="2"/>
          <w:lang w:val="vi-VN"/>
        </w:rPr>
        <w:t xml:space="preserve"> 12 </w:t>
      </w:r>
      <w:r w:rsidR="000C08BD" w:rsidRPr="000C08BD">
        <w:rPr>
          <w:bCs/>
          <w:i/>
          <w:spacing w:val="2"/>
        </w:rPr>
        <w:t>năm 2024 của Ban Văn hóa</w:t>
      </w:r>
      <w:r w:rsidR="000C08BD" w:rsidRPr="000C08BD">
        <w:rPr>
          <w:bCs/>
          <w:i/>
          <w:spacing w:val="2"/>
          <w:lang w:val="vi-VN"/>
        </w:rPr>
        <w:t xml:space="preserve"> - X</w:t>
      </w:r>
      <w:r w:rsidR="000C08BD" w:rsidRPr="000C08BD">
        <w:rPr>
          <w:bCs/>
          <w:i/>
          <w:spacing w:val="2"/>
        </w:rPr>
        <w:t xml:space="preserve">ã hội; </w:t>
      </w:r>
      <w:r w:rsidR="000C08BD" w:rsidRPr="000C08BD">
        <w:rPr>
          <w:rStyle w:val="Bodytext2"/>
          <w:rFonts w:eastAsia="Arial Unicode MS"/>
          <w:i/>
          <w:spacing w:val="2"/>
          <w:sz w:val="28"/>
        </w:rPr>
        <w:t>ý kiến thảo luận của đại biểu Hội đồng nhân dân tại kỳ họp.</w:t>
      </w:r>
    </w:p>
    <w:p w14:paraId="5D84B8BD" w14:textId="5B47DCD6" w:rsidR="00193D56" w:rsidRPr="009A28B5" w:rsidRDefault="00193D56" w:rsidP="003D044F">
      <w:pPr>
        <w:pStyle w:val="BodyText"/>
        <w:widowControl w:val="0"/>
        <w:spacing w:before="120" w:after="120"/>
        <w:ind w:firstLine="567"/>
        <w:jc w:val="center"/>
        <w:rPr>
          <w:b/>
          <w:color w:val="auto"/>
        </w:rPr>
      </w:pPr>
      <w:r w:rsidRPr="00193D56">
        <w:rPr>
          <w:b/>
          <w:color w:val="auto"/>
        </w:rPr>
        <w:t>QUYẾT NGHỊ:</w:t>
      </w:r>
    </w:p>
    <w:p w14:paraId="47B011E9" w14:textId="50705A01" w:rsidR="00193D56" w:rsidRPr="00D76852" w:rsidRDefault="00193D56" w:rsidP="003D044F">
      <w:pPr>
        <w:widowControl w:val="0"/>
        <w:spacing w:before="120" w:after="120"/>
        <w:ind w:firstLine="567"/>
        <w:jc w:val="both"/>
        <w:rPr>
          <w:rFonts w:ascii="TimesNewRomanPSMT" w:hAnsi="TimesNewRomanPSMT"/>
          <w:color w:val="000000"/>
          <w:spacing w:val="-4"/>
        </w:rPr>
      </w:pPr>
      <w:r w:rsidRPr="00D76852">
        <w:rPr>
          <w:b/>
          <w:spacing w:val="-4"/>
        </w:rPr>
        <w:t>Điều 1.</w:t>
      </w:r>
      <w:r w:rsidRPr="00D76852">
        <w:rPr>
          <w:spacing w:val="-4"/>
        </w:rPr>
        <w:t xml:space="preserve"> Quy định </w:t>
      </w:r>
      <w:r w:rsidR="002B61CA" w:rsidRPr="00D76852">
        <w:rPr>
          <w:rStyle w:val="fontstyle01"/>
          <w:spacing w:val="-4"/>
        </w:rPr>
        <w:t>chính sách hỗ trợ cho các cơ quan tư pháp trong việc giải quyết án hành chính, án dân sự chung</w:t>
      </w:r>
      <w:r w:rsidR="00D76852" w:rsidRPr="00D76852">
        <w:rPr>
          <w:rStyle w:val="fontstyle01"/>
          <w:spacing w:val="-4"/>
        </w:rPr>
        <w:t xml:space="preserve"> tr</w:t>
      </w:r>
      <w:r w:rsidR="00D76852" w:rsidRPr="00D76852">
        <w:rPr>
          <w:rStyle w:val="fontstyle01"/>
          <w:rFonts w:hint="eastAsia"/>
          <w:spacing w:val="-4"/>
        </w:rPr>
        <w:t>ê</w:t>
      </w:r>
      <w:r w:rsidR="00D76852" w:rsidRPr="00D76852">
        <w:rPr>
          <w:rStyle w:val="fontstyle01"/>
          <w:spacing w:val="-4"/>
        </w:rPr>
        <w:t xml:space="preserve">n </w:t>
      </w:r>
      <w:r w:rsidR="00D76852" w:rsidRPr="00D76852">
        <w:rPr>
          <w:rStyle w:val="fontstyle01"/>
          <w:rFonts w:hint="eastAsia"/>
          <w:spacing w:val="-4"/>
        </w:rPr>
        <w:t>đ</w:t>
      </w:r>
      <w:r w:rsidR="00D76852" w:rsidRPr="00D76852">
        <w:rPr>
          <w:rStyle w:val="fontstyle01"/>
          <w:spacing w:val="-4"/>
        </w:rPr>
        <w:t>ịa b</w:t>
      </w:r>
      <w:r w:rsidR="00D76852" w:rsidRPr="00D76852">
        <w:rPr>
          <w:rStyle w:val="fontstyle01"/>
          <w:rFonts w:hint="eastAsia"/>
          <w:spacing w:val="-4"/>
        </w:rPr>
        <w:t>à</w:t>
      </w:r>
      <w:r w:rsidR="00D76852" w:rsidRPr="00D76852">
        <w:rPr>
          <w:rStyle w:val="fontstyle01"/>
          <w:spacing w:val="-4"/>
        </w:rPr>
        <w:t>n tỉnh B</w:t>
      </w:r>
      <w:r w:rsidR="00D76852" w:rsidRPr="00D76852">
        <w:rPr>
          <w:rStyle w:val="fontstyle01"/>
          <w:rFonts w:hint="eastAsia"/>
          <w:spacing w:val="-4"/>
        </w:rPr>
        <w:t>ì</w:t>
      </w:r>
      <w:r w:rsidR="00D76852" w:rsidRPr="00D76852">
        <w:rPr>
          <w:rStyle w:val="fontstyle01"/>
          <w:spacing w:val="-4"/>
        </w:rPr>
        <w:t>nh Dương</w:t>
      </w:r>
      <w:r w:rsidRPr="00D76852">
        <w:rPr>
          <w:spacing w:val="-4"/>
        </w:rPr>
        <w:t>, cụ thể như sau:</w:t>
      </w:r>
    </w:p>
    <w:p w14:paraId="7C1E8DCA" w14:textId="6C286FCD" w:rsidR="003A5314" w:rsidRDefault="00193D56" w:rsidP="003D044F">
      <w:pPr>
        <w:widowControl w:val="0"/>
        <w:shd w:val="clear" w:color="auto" w:fill="FFFFFF"/>
        <w:spacing w:before="120" w:after="120"/>
        <w:ind w:firstLine="567"/>
        <w:jc w:val="both"/>
        <w:rPr>
          <w:spacing w:val="-2"/>
        </w:rPr>
      </w:pPr>
      <w:r w:rsidRPr="00D10F4F">
        <w:rPr>
          <w:spacing w:val="-2"/>
          <w:lang w:val="vi-VN"/>
        </w:rPr>
        <w:t xml:space="preserve">1. </w:t>
      </w:r>
      <w:r w:rsidR="0051769E">
        <w:rPr>
          <w:spacing w:val="-2"/>
        </w:rPr>
        <w:t>Phạm vi điều chỉnh, đ</w:t>
      </w:r>
      <w:r w:rsidRPr="00D10F4F">
        <w:rPr>
          <w:spacing w:val="-2"/>
        </w:rPr>
        <w:t>ối tượng áp dụng</w:t>
      </w:r>
      <w:r w:rsidR="00B46B95" w:rsidRPr="00D10F4F">
        <w:rPr>
          <w:spacing w:val="-2"/>
        </w:rPr>
        <w:t xml:space="preserve"> </w:t>
      </w:r>
    </w:p>
    <w:p w14:paraId="48ABFD06" w14:textId="13D0DFA6" w:rsidR="00193D56" w:rsidRDefault="003A5314" w:rsidP="003D044F">
      <w:pPr>
        <w:widowControl w:val="0"/>
        <w:shd w:val="clear" w:color="auto" w:fill="FFFFFF"/>
        <w:spacing w:before="120" w:after="120"/>
        <w:ind w:firstLine="567"/>
        <w:jc w:val="both"/>
        <w:rPr>
          <w:spacing w:val="-2"/>
        </w:rPr>
      </w:pPr>
      <w:r>
        <w:rPr>
          <w:spacing w:val="-2"/>
        </w:rPr>
        <w:t>a) N</w:t>
      </w:r>
      <w:r w:rsidR="00193D56" w:rsidRPr="00D10F4F">
        <w:rPr>
          <w:spacing w:val="-2"/>
        </w:rPr>
        <w:t xml:space="preserve">hững người trực tiếp </w:t>
      </w:r>
      <w:r w:rsidR="008308BC" w:rsidRPr="00DA2310">
        <w:rPr>
          <w:spacing w:val="-2"/>
          <w:lang w:val="vi-VN"/>
        </w:rPr>
        <w:t>tham gia c</w:t>
      </w:r>
      <w:r w:rsidR="00193D56" w:rsidRPr="00DA2310">
        <w:rPr>
          <w:spacing w:val="-2"/>
          <w:lang w:val="vi-VN"/>
        </w:rPr>
        <w:t xml:space="preserve">ông tác </w:t>
      </w:r>
      <w:r w:rsidRPr="00DA2310">
        <w:rPr>
          <w:spacing w:val="-2"/>
        </w:rPr>
        <w:t>kiểm sát, xét xử, thi hành án</w:t>
      </w:r>
      <w:r>
        <w:rPr>
          <w:spacing w:val="-2"/>
        </w:rPr>
        <w:t xml:space="preserve"> đối với </w:t>
      </w:r>
      <w:r w:rsidR="002B61CA" w:rsidRPr="00D10F4F">
        <w:rPr>
          <w:rStyle w:val="fontstyle01"/>
          <w:spacing w:val="-2"/>
        </w:rPr>
        <w:t>án hành chính, án dân sự chung</w:t>
      </w:r>
      <w:r w:rsidR="0038494E" w:rsidRPr="00D10F4F">
        <w:rPr>
          <w:rStyle w:val="fontstyle01"/>
          <w:spacing w:val="-2"/>
        </w:rPr>
        <w:t xml:space="preserve"> (</w:t>
      </w:r>
      <w:r w:rsidR="0038494E" w:rsidRPr="00D10F4F">
        <w:rPr>
          <w:spacing w:val="-2"/>
          <w:lang w:val="vi-VN"/>
        </w:rPr>
        <w:t>dân sự, kinh doanh, thương mại, lao động</w:t>
      </w:r>
      <w:r w:rsidR="0038494E" w:rsidRPr="00D10F4F">
        <w:rPr>
          <w:spacing w:val="-2"/>
        </w:rPr>
        <w:t>, hôn nhân gia đình)</w:t>
      </w:r>
      <w:r w:rsidR="002B61CA" w:rsidRPr="00D10F4F">
        <w:rPr>
          <w:spacing w:val="-2"/>
        </w:rPr>
        <w:t xml:space="preserve"> </w:t>
      </w:r>
      <w:r w:rsidR="009B349A" w:rsidRPr="00D10F4F">
        <w:rPr>
          <w:spacing w:val="-2"/>
        </w:rPr>
        <w:t xml:space="preserve">và phần thi hành án dân sự trong bản án hình sự </w:t>
      </w:r>
      <w:r w:rsidR="002B61CA" w:rsidRPr="00D10F4F">
        <w:rPr>
          <w:spacing w:val="-2"/>
        </w:rPr>
        <w:t xml:space="preserve">thuộc cơ quan </w:t>
      </w:r>
      <w:r w:rsidR="00640CB9" w:rsidRPr="00D10F4F">
        <w:rPr>
          <w:spacing w:val="-2"/>
        </w:rPr>
        <w:t xml:space="preserve">Toà án nhân dân, </w:t>
      </w:r>
      <w:r w:rsidR="00193D56" w:rsidRPr="00D10F4F">
        <w:rPr>
          <w:spacing w:val="-2"/>
        </w:rPr>
        <w:t>Viện kiểm sát</w:t>
      </w:r>
      <w:r w:rsidR="00DD4BEB" w:rsidRPr="00D10F4F">
        <w:rPr>
          <w:spacing w:val="-2"/>
        </w:rPr>
        <w:t xml:space="preserve"> nhân dân</w:t>
      </w:r>
      <w:r w:rsidR="00193D56" w:rsidRPr="00D10F4F">
        <w:rPr>
          <w:spacing w:val="-2"/>
        </w:rPr>
        <w:t xml:space="preserve">, </w:t>
      </w:r>
      <w:r w:rsidR="00930682" w:rsidRPr="00D10F4F">
        <w:rPr>
          <w:spacing w:val="-2"/>
        </w:rPr>
        <w:t xml:space="preserve">Thi </w:t>
      </w:r>
      <w:r w:rsidR="002B61CA" w:rsidRPr="00D10F4F">
        <w:rPr>
          <w:spacing w:val="-2"/>
        </w:rPr>
        <w:t>hành án dân sự</w:t>
      </w:r>
      <w:r w:rsidR="00193D56" w:rsidRPr="00D10F4F">
        <w:rPr>
          <w:spacing w:val="-2"/>
        </w:rPr>
        <w:t xml:space="preserve"> 02 cấp </w:t>
      </w:r>
      <w:r w:rsidR="00D76852">
        <w:rPr>
          <w:spacing w:val="-2"/>
        </w:rPr>
        <w:t xml:space="preserve">trên địa bàn tỉnh </w:t>
      </w:r>
      <w:r w:rsidR="00193D56" w:rsidRPr="00D10F4F">
        <w:rPr>
          <w:spacing w:val="-2"/>
        </w:rPr>
        <w:t>Bình Dương.</w:t>
      </w:r>
    </w:p>
    <w:p w14:paraId="2A5B6356" w14:textId="6655F605" w:rsidR="003A5314" w:rsidRDefault="003A5314" w:rsidP="003D044F">
      <w:pPr>
        <w:pStyle w:val="ListParagraph"/>
        <w:widowControl w:val="0"/>
        <w:spacing w:before="120" w:after="120"/>
        <w:ind w:left="0" w:firstLine="567"/>
        <w:jc w:val="both"/>
        <w:rPr>
          <w:lang w:eastAsia="x-none"/>
        </w:rPr>
      </w:pPr>
      <w:r w:rsidRPr="00DA2310">
        <w:rPr>
          <w:spacing w:val="-2"/>
        </w:rPr>
        <w:t>b)</w:t>
      </w:r>
      <w:r w:rsidRPr="00DA2310">
        <w:rPr>
          <w:lang w:eastAsia="x-none"/>
        </w:rPr>
        <w:t xml:space="preserve"> Chính sách </w:t>
      </w:r>
      <w:r w:rsidR="004B0EBC">
        <w:rPr>
          <w:lang w:eastAsia="x-none"/>
        </w:rPr>
        <w:t>này</w:t>
      </w:r>
      <w:r w:rsidRPr="00DA2310">
        <w:rPr>
          <w:lang w:eastAsia="x-none"/>
        </w:rPr>
        <w:t xml:space="preserve"> không áp dụng đối với các trường hợp sau</w:t>
      </w:r>
    </w:p>
    <w:p w14:paraId="287F4332" w14:textId="7D004181" w:rsidR="003A5314" w:rsidRDefault="003A5314" w:rsidP="003D044F">
      <w:pPr>
        <w:pStyle w:val="ListParagraph"/>
        <w:widowControl w:val="0"/>
        <w:spacing w:before="120" w:after="120"/>
        <w:ind w:left="0" w:firstLine="567"/>
        <w:jc w:val="both"/>
        <w:rPr>
          <w:lang w:eastAsia="x-none"/>
        </w:rPr>
      </w:pPr>
      <w:r>
        <w:rPr>
          <w:lang w:eastAsia="x-none"/>
        </w:rPr>
        <w:t xml:space="preserve">- Đối với các vụ án được hòa giải thành, đối thoại thành và đình chỉ giải quyết vụ án trong giai đoạn chuẩn bị xét xử </w:t>
      </w:r>
      <w:r w:rsidR="00B25DA7">
        <w:rPr>
          <w:lang w:eastAsia="x-none"/>
        </w:rPr>
        <w:t>do Thẩm phán ban hành</w:t>
      </w:r>
      <w:r>
        <w:rPr>
          <w:lang w:eastAsia="x-none"/>
        </w:rPr>
        <w:t>.</w:t>
      </w:r>
      <w:r w:rsidRPr="00DD17CF">
        <w:rPr>
          <w:lang w:eastAsia="x-none"/>
        </w:rPr>
        <w:t xml:space="preserve"> </w:t>
      </w:r>
    </w:p>
    <w:p w14:paraId="5352B88E" w14:textId="43296C43" w:rsidR="003A5314" w:rsidRPr="003A5314" w:rsidRDefault="003A5314" w:rsidP="003D044F">
      <w:pPr>
        <w:pStyle w:val="ListParagraph"/>
        <w:widowControl w:val="0"/>
        <w:spacing w:before="120" w:after="120"/>
        <w:ind w:left="0" w:firstLine="567"/>
        <w:contextualSpacing w:val="0"/>
        <w:jc w:val="both"/>
        <w:rPr>
          <w:lang w:eastAsia="x-none"/>
        </w:rPr>
      </w:pPr>
      <w:r>
        <w:rPr>
          <w:spacing w:val="-2"/>
        </w:rPr>
        <w:lastRenderedPageBreak/>
        <w:t xml:space="preserve">- </w:t>
      </w:r>
      <w:r>
        <w:rPr>
          <w:lang w:eastAsia="x-none"/>
        </w:rPr>
        <w:t>Đối với</w:t>
      </w:r>
      <w:r w:rsidRPr="00DD17CF">
        <w:rPr>
          <w:lang w:eastAsia="x-none"/>
        </w:rPr>
        <w:t xml:space="preserve"> quyết định </w:t>
      </w:r>
      <w:r>
        <w:rPr>
          <w:lang w:eastAsia="x-none"/>
        </w:rPr>
        <w:t xml:space="preserve">thi hành án: </w:t>
      </w:r>
      <w:r w:rsidRPr="00DD17CF">
        <w:rPr>
          <w:lang w:eastAsia="x-none"/>
        </w:rPr>
        <w:t xml:space="preserve">hoàn trả tạm ứng án phí; </w:t>
      </w:r>
      <w:r>
        <w:rPr>
          <w:lang w:eastAsia="x-none"/>
        </w:rPr>
        <w:t xml:space="preserve">khấu trừ tạm ứng án phí; tịch thu tiêu hủy, sung công </w:t>
      </w:r>
      <w:r w:rsidRPr="00DD17CF">
        <w:rPr>
          <w:lang w:eastAsia="x-none"/>
        </w:rPr>
        <w:t xml:space="preserve">hay ủy thác </w:t>
      </w:r>
      <w:r>
        <w:rPr>
          <w:lang w:eastAsia="x-none"/>
        </w:rPr>
        <w:t>toàn bộ</w:t>
      </w:r>
      <w:r w:rsidRPr="00DD17CF">
        <w:rPr>
          <w:lang w:eastAsia="x-none"/>
        </w:rPr>
        <w:t xml:space="preserve">. </w:t>
      </w:r>
    </w:p>
    <w:p w14:paraId="09169FCE" w14:textId="424E122B" w:rsidR="00193D56" w:rsidRPr="00B80047" w:rsidRDefault="00193D56" w:rsidP="003D044F">
      <w:pPr>
        <w:widowControl w:val="0"/>
        <w:shd w:val="clear" w:color="auto" w:fill="FFFFFF"/>
        <w:spacing w:before="120" w:after="120"/>
        <w:ind w:firstLine="567"/>
        <w:jc w:val="both"/>
      </w:pPr>
      <w:r w:rsidRPr="00B80047">
        <w:t>2</w:t>
      </w:r>
      <w:r w:rsidRPr="00B80047">
        <w:rPr>
          <w:lang w:val="vi-VN"/>
        </w:rPr>
        <w:t xml:space="preserve">. </w:t>
      </w:r>
      <w:r w:rsidR="00126AAF">
        <w:t>Nội dung và m</w:t>
      </w:r>
      <w:r w:rsidRPr="00B80047">
        <w:rPr>
          <w:lang w:val="vi-VN"/>
        </w:rPr>
        <w:t>ức hỗ trợ</w:t>
      </w:r>
    </w:p>
    <w:p w14:paraId="43FD6665" w14:textId="77777777" w:rsidR="00461F44" w:rsidRPr="00010F09" w:rsidRDefault="00461F44" w:rsidP="003D044F">
      <w:pPr>
        <w:widowControl w:val="0"/>
        <w:shd w:val="clear" w:color="auto" w:fill="FFFFFF"/>
        <w:spacing w:before="120" w:after="120"/>
        <w:ind w:firstLine="567"/>
        <w:jc w:val="both"/>
        <w:rPr>
          <w:iCs/>
        </w:rPr>
      </w:pPr>
      <w:r w:rsidRPr="00010F09">
        <w:rPr>
          <w:iCs/>
        </w:rPr>
        <w:t xml:space="preserve">a) </w:t>
      </w:r>
      <w:r w:rsidR="00F5312F" w:rsidRPr="00010F09">
        <w:rPr>
          <w:iCs/>
        </w:rPr>
        <w:t xml:space="preserve">Hỗ </w:t>
      </w:r>
      <w:r w:rsidRPr="00010F09">
        <w:rPr>
          <w:iCs/>
        </w:rPr>
        <w:t xml:space="preserve">trợ </w:t>
      </w:r>
      <w:r>
        <w:rPr>
          <w:iCs/>
        </w:rPr>
        <w:t>đ</w:t>
      </w:r>
      <w:r w:rsidRPr="00010F09">
        <w:rPr>
          <w:iCs/>
        </w:rPr>
        <w:t xml:space="preserve">ối với cơ quan </w:t>
      </w:r>
      <w:r w:rsidR="00F5312F" w:rsidRPr="00010F09">
        <w:rPr>
          <w:iCs/>
        </w:rPr>
        <w:t xml:space="preserve">Tòa </w:t>
      </w:r>
      <w:r w:rsidRPr="00010F09">
        <w:rPr>
          <w:iCs/>
        </w:rPr>
        <w:t xml:space="preserve">án nhân dân </w:t>
      </w:r>
    </w:p>
    <w:p w14:paraId="6B4E123F" w14:textId="07E2B746" w:rsidR="00461F44" w:rsidRPr="00A766B0" w:rsidRDefault="00461F44" w:rsidP="003D044F">
      <w:pPr>
        <w:widowControl w:val="0"/>
        <w:spacing w:before="120" w:after="120"/>
        <w:ind w:firstLine="567"/>
        <w:jc w:val="both"/>
        <w:rPr>
          <w:iCs/>
          <w:lang w:val="vi-VN"/>
        </w:rPr>
      </w:pPr>
      <w:r w:rsidRPr="00010F09">
        <w:rPr>
          <w:iCs/>
        </w:rPr>
        <w:t xml:space="preserve">- </w:t>
      </w:r>
      <w:r w:rsidR="003A5314">
        <w:rPr>
          <w:iCs/>
        </w:rPr>
        <w:t>Đối với án</w:t>
      </w:r>
      <w:r w:rsidRPr="00010F09">
        <w:rPr>
          <w:iCs/>
        </w:rPr>
        <w:t xml:space="preserve"> sơ thẩm: 1.200.000 đồng/vụ;</w:t>
      </w:r>
    </w:p>
    <w:p w14:paraId="2D1EE7C2" w14:textId="72ACA1DD" w:rsidR="00461F44" w:rsidRDefault="00461F44" w:rsidP="003D044F">
      <w:pPr>
        <w:pStyle w:val="ListParagraph"/>
        <w:widowControl w:val="0"/>
        <w:spacing w:before="120" w:after="120"/>
        <w:ind w:left="0" w:firstLine="567"/>
        <w:contextualSpacing w:val="0"/>
        <w:jc w:val="both"/>
        <w:rPr>
          <w:iCs/>
        </w:rPr>
      </w:pPr>
      <w:r w:rsidRPr="00010F09">
        <w:rPr>
          <w:iCs/>
        </w:rPr>
        <w:t xml:space="preserve">- </w:t>
      </w:r>
      <w:r w:rsidR="003A5314">
        <w:rPr>
          <w:iCs/>
        </w:rPr>
        <w:t>Đối với án</w:t>
      </w:r>
      <w:r w:rsidR="003A5314" w:rsidRPr="00010F09">
        <w:rPr>
          <w:iCs/>
        </w:rPr>
        <w:t xml:space="preserve"> </w:t>
      </w:r>
      <w:r w:rsidRPr="00010F09">
        <w:rPr>
          <w:iCs/>
        </w:rPr>
        <w:t>phúc thẩm</w:t>
      </w:r>
      <w:r w:rsidR="00F5312F">
        <w:rPr>
          <w:iCs/>
        </w:rPr>
        <w:t>:</w:t>
      </w:r>
      <w:r w:rsidRPr="00010F09">
        <w:rPr>
          <w:iCs/>
        </w:rPr>
        <w:t xml:space="preserve"> 800.000 đồng/vụ.</w:t>
      </w:r>
    </w:p>
    <w:p w14:paraId="15ADD479" w14:textId="77777777" w:rsidR="009B349A" w:rsidRDefault="00461F44" w:rsidP="003D044F">
      <w:pPr>
        <w:widowControl w:val="0"/>
        <w:autoSpaceDE w:val="0"/>
        <w:autoSpaceDN w:val="0"/>
        <w:adjustRightInd w:val="0"/>
        <w:spacing w:before="120" w:after="120"/>
        <w:ind w:firstLine="567"/>
        <w:jc w:val="both"/>
        <w:rPr>
          <w:color w:val="000000"/>
        </w:rPr>
      </w:pPr>
      <w:r w:rsidRPr="00010F09">
        <w:rPr>
          <w:iCs/>
        </w:rPr>
        <w:t xml:space="preserve">b) </w:t>
      </w:r>
      <w:r w:rsidR="00F5312F">
        <w:rPr>
          <w:color w:val="000000"/>
        </w:rPr>
        <w:t xml:space="preserve">Hỗ </w:t>
      </w:r>
      <w:r w:rsidR="009B349A">
        <w:rPr>
          <w:color w:val="000000"/>
        </w:rPr>
        <w:t xml:space="preserve">trợ đối với cơ quan Viện kiểm sát nhân dân </w:t>
      </w:r>
    </w:p>
    <w:p w14:paraId="48BCD503" w14:textId="7376CAF1" w:rsidR="009B349A" w:rsidRDefault="009B349A" w:rsidP="003D044F">
      <w:pPr>
        <w:widowControl w:val="0"/>
        <w:autoSpaceDE w:val="0"/>
        <w:autoSpaceDN w:val="0"/>
        <w:adjustRightInd w:val="0"/>
        <w:spacing w:before="120" w:after="120"/>
        <w:ind w:firstLine="567"/>
        <w:jc w:val="both"/>
        <w:rPr>
          <w:color w:val="000000"/>
        </w:rPr>
      </w:pPr>
      <w:r>
        <w:rPr>
          <w:color w:val="000000"/>
        </w:rPr>
        <w:t xml:space="preserve">- </w:t>
      </w:r>
      <w:r w:rsidR="003A5314">
        <w:rPr>
          <w:iCs/>
        </w:rPr>
        <w:t>Đối với án</w:t>
      </w:r>
      <w:r w:rsidR="003A5314" w:rsidRPr="00010F09">
        <w:rPr>
          <w:iCs/>
        </w:rPr>
        <w:t xml:space="preserve"> </w:t>
      </w:r>
      <w:r>
        <w:rPr>
          <w:color w:val="000000"/>
        </w:rPr>
        <w:t>sơ thẩm: 1.000.000 đồng/vụ</w:t>
      </w:r>
    </w:p>
    <w:p w14:paraId="0F44B0A1" w14:textId="44D5EB8D" w:rsidR="009B349A" w:rsidRDefault="009B349A" w:rsidP="003D044F">
      <w:pPr>
        <w:widowControl w:val="0"/>
        <w:autoSpaceDE w:val="0"/>
        <w:autoSpaceDN w:val="0"/>
        <w:adjustRightInd w:val="0"/>
        <w:spacing w:before="120" w:after="120"/>
        <w:ind w:firstLine="567"/>
        <w:jc w:val="both"/>
        <w:rPr>
          <w:color w:val="000000"/>
        </w:rPr>
      </w:pPr>
      <w:r>
        <w:rPr>
          <w:color w:val="000000"/>
        </w:rPr>
        <w:t xml:space="preserve">- </w:t>
      </w:r>
      <w:r w:rsidR="003A5314">
        <w:rPr>
          <w:iCs/>
        </w:rPr>
        <w:t>Đối với án</w:t>
      </w:r>
      <w:r w:rsidR="003A5314" w:rsidRPr="00010F09">
        <w:rPr>
          <w:iCs/>
        </w:rPr>
        <w:t xml:space="preserve"> </w:t>
      </w:r>
      <w:r>
        <w:rPr>
          <w:color w:val="000000"/>
        </w:rPr>
        <w:t>phúc thẩm</w:t>
      </w:r>
      <w:r w:rsidR="00D10F4F">
        <w:rPr>
          <w:color w:val="000000"/>
        </w:rPr>
        <w:t>: 500.000 đồng/vụ</w:t>
      </w:r>
      <w:r>
        <w:rPr>
          <w:color w:val="000000"/>
        </w:rPr>
        <w:t xml:space="preserve">. </w:t>
      </w:r>
    </w:p>
    <w:p w14:paraId="4DDC3716" w14:textId="2C4C452F" w:rsidR="003A5314" w:rsidRPr="00CA7379" w:rsidRDefault="003A5314" w:rsidP="003D044F">
      <w:pPr>
        <w:pStyle w:val="ListParagraph"/>
        <w:widowControl w:val="0"/>
        <w:spacing w:before="120" w:after="120"/>
        <w:ind w:left="0" w:firstLine="567"/>
        <w:contextualSpacing w:val="0"/>
        <w:jc w:val="both"/>
        <w:rPr>
          <w:iCs/>
        </w:rPr>
      </w:pPr>
      <w:r w:rsidRPr="00CA7379">
        <w:rPr>
          <w:iCs/>
        </w:rPr>
        <w:t>Mức hỗ trợ gồm</w:t>
      </w:r>
      <w:r w:rsidR="005E4D83">
        <w:rPr>
          <w:iCs/>
        </w:rPr>
        <w:t>:</w:t>
      </w:r>
      <w:r w:rsidR="000477EC" w:rsidRPr="00CA7379">
        <w:rPr>
          <w:iCs/>
        </w:rPr>
        <w:t xml:space="preserve"> </w:t>
      </w:r>
      <w:r w:rsidRPr="00CA7379">
        <w:rPr>
          <w:iCs/>
        </w:rPr>
        <w:t>công tác kiểm sát xét xử và kiểm sát thi hành án.</w:t>
      </w:r>
    </w:p>
    <w:p w14:paraId="5938D07A" w14:textId="77777777" w:rsidR="00461F44" w:rsidRPr="00010F09" w:rsidRDefault="00461F44" w:rsidP="003D044F">
      <w:pPr>
        <w:pStyle w:val="ListParagraph"/>
        <w:widowControl w:val="0"/>
        <w:spacing w:before="120" w:after="120"/>
        <w:ind w:left="0" w:firstLine="567"/>
        <w:contextualSpacing w:val="0"/>
        <w:jc w:val="both"/>
        <w:rPr>
          <w:iCs/>
        </w:rPr>
      </w:pPr>
      <w:r w:rsidRPr="00010F09">
        <w:rPr>
          <w:iCs/>
        </w:rPr>
        <w:t xml:space="preserve">c) </w:t>
      </w:r>
      <w:r w:rsidR="00F5312F" w:rsidRPr="00010F09">
        <w:rPr>
          <w:iCs/>
        </w:rPr>
        <w:t xml:space="preserve">Hỗ </w:t>
      </w:r>
      <w:r w:rsidRPr="00010F09">
        <w:rPr>
          <w:iCs/>
        </w:rPr>
        <w:t xml:space="preserve">trợ </w:t>
      </w:r>
      <w:r>
        <w:rPr>
          <w:iCs/>
        </w:rPr>
        <w:t>đ</w:t>
      </w:r>
      <w:r w:rsidR="00F5312F">
        <w:rPr>
          <w:iCs/>
        </w:rPr>
        <w:t>ối với c</w:t>
      </w:r>
      <w:r w:rsidRPr="00010F09">
        <w:rPr>
          <w:iCs/>
        </w:rPr>
        <w:t>ơ quan Thi hành án dân sự</w:t>
      </w:r>
    </w:p>
    <w:p w14:paraId="73A2B6CD" w14:textId="77777777" w:rsidR="00461F44" w:rsidRPr="00010F09" w:rsidRDefault="00761312" w:rsidP="003D044F">
      <w:pPr>
        <w:pStyle w:val="ListParagraph"/>
        <w:widowControl w:val="0"/>
        <w:spacing w:before="120" w:after="120"/>
        <w:ind w:left="0" w:firstLine="567"/>
        <w:contextualSpacing w:val="0"/>
        <w:jc w:val="both"/>
        <w:rPr>
          <w:iCs/>
        </w:rPr>
      </w:pPr>
      <w:r>
        <w:rPr>
          <w:iCs/>
        </w:rPr>
        <w:t>- Cục Thi hành án dân sự tỉnh: 6</w:t>
      </w:r>
      <w:r w:rsidR="00461F44" w:rsidRPr="00010F09">
        <w:rPr>
          <w:iCs/>
        </w:rPr>
        <w:t>00.000 đồng/việc xong.</w:t>
      </w:r>
    </w:p>
    <w:p w14:paraId="444BD88C" w14:textId="77777777" w:rsidR="00461F44" w:rsidRDefault="0096760B" w:rsidP="003D044F">
      <w:pPr>
        <w:pStyle w:val="ListParagraph"/>
        <w:widowControl w:val="0"/>
        <w:spacing w:before="120" w:after="120"/>
        <w:ind w:left="0" w:firstLine="567"/>
        <w:contextualSpacing w:val="0"/>
        <w:jc w:val="both"/>
        <w:rPr>
          <w:iCs/>
        </w:rPr>
      </w:pPr>
      <w:r>
        <w:rPr>
          <w:iCs/>
        </w:rPr>
        <w:t xml:space="preserve">- </w:t>
      </w:r>
      <w:r w:rsidR="00461F44" w:rsidRPr="00010F09">
        <w:rPr>
          <w:iCs/>
        </w:rPr>
        <w:t>Chi cục</w:t>
      </w:r>
      <w:r w:rsidR="00761312">
        <w:rPr>
          <w:iCs/>
        </w:rPr>
        <w:t xml:space="preserve"> </w:t>
      </w:r>
      <w:r>
        <w:rPr>
          <w:iCs/>
        </w:rPr>
        <w:t>Thi hành án dân sự</w:t>
      </w:r>
      <w:r w:rsidR="00761312">
        <w:rPr>
          <w:iCs/>
        </w:rPr>
        <w:t xml:space="preserve"> </w:t>
      </w:r>
      <w:r>
        <w:rPr>
          <w:iCs/>
        </w:rPr>
        <w:t>cấp huyện</w:t>
      </w:r>
      <w:r w:rsidR="00761312">
        <w:rPr>
          <w:iCs/>
        </w:rPr>
        <w:t>: 4</w:t>
      </w:r>
      <w:r w:rsidR="00461F44" w:rsidRPr="00010F09">
        <w:rPr>
          <w:iCs/>
        </w:rPr>
        <w:t>00.000 đồng/việc xong</w:t>
      </w:r>
      <w:r>
        <w:rPr>
          <w:iCs/>
        </w:rPr>
        <w:t>.</w:t>
      </w:r>
    </w:p>
    <w:p w14:paraId="2CBF594A" w14:textId="77777777" w:rsidR="00193D56" w:rsidRDefault="00193D56" w:rsidP="003D044F">
      <w:pPr>
        <w:pStyle w:val="BodyText"/>
        <w:widowControl w:val="0"/>
        <w:spacing w:before="120" w:after="120"/>
        <w:ind w:firstLine="567"/>
        <w:jc w:val="left"/>
        <w:rPr>
          <w:color w:val="auto"/>
          <w:lang w:val="x-none" w:eastAsia="x-none"/>
        </w:rPr>
      </w:pPr>
      <w:r>
        <w:rPr>
          <w:color w:val="auto"/>
          <w:lang w:eastAsia="x-none"/>
        </w:rPr>
        <w:t>3</w:t>
      </w:r>
      <w:r w:rsidRPr="00B80047">
        <w:rPr>
          <w:color w:val="auto"/>
          <w:lang w:eastAsia="x-none"/>
        </w:rPr>
        <w:t xml:space="preserve">. </w:t>
      </w:r>
      <w:r>
        <w:rPr>
          <w:color w:val="auto"/>
          <w:lang w:eastAsia="x-none"/>
        </w:rPr>
        <w:t>Điều kiện hỗ trợ</w:t>
      </w:r>
      <w:r w:rsidRPr="00B80047">
        <w:rPr>
          <w:color w:val="auto"/>
          <w:lang w:val="x-none" w:eastAsia="x-none"/>
        </w:rPr>
        <w:t xml:space="preserve"> </w:t>
      </w:r>
    </w:p>
    <w:p w14:paraId="4150257E" w14:textId="60EDC70A" w:rsidR="003A5314" w:rsidRDefault="00CD65B1" w:rsidP="003D044F">
      <w:pPr>
        <w:pStyle w:val="ListParagraph"/>
        <w:widowControl w:val="0"/>
        <w:spacing w:before="120" w:after="120"/>
        <w:ind w:left="0" w:firstLine="567"/>
        <w:contextualSpacing w:val="0"/>
        <w:jc w:val="both"/>
        <w:rPr>
          <w:iCs/>
        </w:rPr>
      </w:pPr>
      <w:r w:rsidRPr="009C535D">
        <w:rPr>
          <w:lang w:eastAsia="x-none"/>
        </w:rPr>
        <w:t>a)</w:t>
      </w:r>
      <w:r w:rsidR="00DD17CF" w:rsidRPr="009C535D">
        <w:rPr>
          <w:lang w:eastAsia="x-none"/>
        </w:rPr>
        <w:t xml:space="preserve"> </w:t>
      </w:r>
      <w:r w:rsidR="00F5312F" w:rsidRPr="009C535D">
        <w:rPr>
          <w:lang w:eastAsia="x-none"/>
        </w:rPr>
        <w:t xml:space="preserve">Đối với </w:t>
      </w:r>
      <w:r w:rsidR="003A5314" w:rsidRPr="009C535D">
        <w:rPr>
          <w:lang w:eastAsia="x-none"/>
        </w:rPr>
        <w:t xml:space="preserve">cơ quan </w:t>
      </w:r>
      <w:r w:rsidR="00F5312F" w:rsidRPr="009C535D">
        <w:rPr>
          <w:iCs/>
        </w:rPr>
        <w:t>Tòa án nhân dân</w:t>
      </w:r>
    </w:p>
    <w:p w14:paraId="385A390E" w14:textId="499E2F9E" w:rsidR="003A5314" w:rsidRPr="003A5314" w:rsidRDefault="003A5314" w:rsidP="003D044F">
      <w:pPr>
        <w:pStyle w:val="ListParagraph"/>
        <w:widowControl w:val="0"/>
        <w:spacing w:before="120" w:after="120"/>
        <w:ind w:left="0" w:firstLine="567"/>
        <w:contextualSpacing w:val="0"/>
        <w:jc w:val="both"/>
        <w:rPr>
          <w:lang w:eastAsia="x-none"/>
        </w:rPr>
      </w:pPr>
      <w:r>
        <w:rPr>
          <w:lang w:eastAsia="x-none"/>
        </w:rPr>
        <w:t>Phải có Bản án</w:t>
      </w:r>
      <w:r w:rsidR="00505D70">
        <w:rPr>
          <w:lang w:eastAsia="x-none"/>
        </w:rPr>
        <w:t xml:space="preserve"> </w:t>
      </w:r>
      <w:r>
        <w:rPr>
          <w:lang w:eastAsia="x-none"/>
        </w:rPr>
        <w:t>hoặc</w:t>
      </w:r>
      <w:r w:rsidR="0000549D">
        <w:rPr>
          <w:lang w:eastAsia="x-none"/>
        </w:rPr>
        <w:t xml:space="preserve"> </w:t>
      </w:r>
      <w:r>
        <w:rPr>
          <w:lang w:eastAsia="x-none"/>
        </w:rPr>
        <w:t>Quyết định công nhận sự thỏa thuận của các đương sự</w:t>
      </w:r>
      <w:r w:rsidR="00D75CA2">
        <w:rPr>
          <w:lang w:eastAsia="x-none"/>
        </w:rPr>
        <w:t>,</w:t>
      </w:r>
      <w:r>
        <w:rPr>
          <w:lang w:eastAsia="x-none"/>
        </w:rPr>
        <w:t xml:space="preserve"> Quyết định đình chỉ giải quyết vụ án do Hội đồng xét xử ban hành.</w:t>
      </w:r>
    </w:p>
    <w:p w14:paraId="43D12AF9" w14:textId="2D0612F6" w:rsidR="00F5312F" w:rsidRDefault="003A5314" w:rsidP="003D044F">
      <w:pPr>
        <w:pStyle w:val="ListParagraph"/>
        <w:widowControl w:val="0"/>
        <w:spacing w:before="120" w:after="120"/>
        <w:ind w:left="0" w:firstLine="567"/>
        <w:contextualSpacing w:val="0"/>
        <w:jc w:val="both"/>
        <w:rPr>
          <w:color w:val="000000"/>
        </w:rPr>
      </w:pPr>
      <w:r w:rsidRPr="004F73B1">
        <w:rPr>
          <w:iCs/>
        </w:rPr>
        <w:t>b)</w:t>
      </w:r>
      <w:r w:rsidR="00F5312F" w:rsidRPr="004F73B1">
        <w:rPr>
          <w:iCs/>
        </w:rPr>
        <w:t xml:space="preserve"> </w:t>
      </w:r>
      <w:r w:rsidRPr="004F73B1">
        <w:rPr>
          <w:lang w:eastAsia="x-none"/>
        </w:rPr>
        <w:t xml:space="preserve">Đối với cơ quan </w:t>
      </w:r>
      <w:r w:rsidR="00F5312F" w:rsidRPr="004F73B1">
        <w:rPr>
          <w:color w:val="000000"/>
        </w:rPr>
        <w:t>Viện kiểm sát nhân dân</w:t>
      </w:r>
    </w:p>
    <w:p w14:paraId="658A35D2" w14:textId="5A8A92D5" w:rsidR="003A5314" w:rsidRDefault="003A5314" w:rsidP="003D044F">
      <w:pPr>
        <w:pStyle w:val="ListParagraph"/>
        <w:widowControl w:val="0"/>
        <w:spacing w:before="120" w:after="120"/>
        <w:ind w:left="0" w:firstLine="567"/>
        <w:contextualSpacing w:val="0"/>
        <w:jc w:val="both"/>
        <w:rPr>
          <w:lang w:eastAsia="x-none"/>
        </w:rPr>
      </w:pPr>
      <w:r>
        <w:rPr>
          <w:lang w:eastAsia="x-none"/>
        </w:rPr>
        <w:t>Phải có Bản án</w:t>
      </w:r>
      <w:r w:rsidR="0000549D">
        <w:rPr>
          <w:lang w:eastAsia="x-none"/>
        </w:rPr>
        <w:t xml:space="preserve"> </w:t>
      </w:r>
      <w:r>
        <w:rPr>
          <w:lang w:eastAsia="x-none"/>
        </w:rPr>
        <w:t>hoặc Quyết định công nhận sự thỏa thuận của các đương sự, Quyết định đình chỉ giải quyết vụ án do Hội đồng xét xử ban hành và Quyết định phân công kiểm sát viên.</w:t>
      </w:r>
    </w:p>
    <w:p w14:paraId="31CB47D4" w14:textId="423D5027" w:rsidR="00F5312F" w:rsidRDefault="003A5314" w:rsidP="003D044F">
      <w:pPr>
        <w:pStyle w:val="ListParagraph"/>
        <w:widowControl w:val="0"/>
        <w:spacing w:before="120" w:after="120"/>
        <w:ind w:left="0" w:firstLine="567"/>
        <w:contextualSpacing w:val="0"/>
        <w:jc w:val="both"/>
        <w:rPr>
          <w:iCs/>
        </w:rPr>
      </w:pPr>
      <w:r w:rsidRPr="004F73B1">
        <w:rPr>
          <w:iCs/>
        </w:rPr>
        <w:t>c</w:t>
      </w:r>
      <w:r w:rsidR="00DD17CF" w:rsidRPr="004F73B1">
        <w:rPr>
          <w:iCs/>
        </w:rPr>
        <w:t>)</w:t>
      </w:r>
      <w:r w:rsidR="00F5312F" w:rsidRPr="004F73B1">
        <w:rPr>
          <w:iCs/>
        </w:rPr>
        <w:t xml:space="preserve"> Đối với cơ quan Thi hành án dân sự</w:t>
      </w:r>
    </w:p>
    <w:p w14:paraId="3B72EF8C" w14:textId="696A827C" w:rsidR="00AD38C2" w:rsidRDefault="00F5312F" w:rsidP="003D044F">
      <w:pPr>
        <w:pStyle w:val="ListParagraph"/>
        <w:widowControl w:val="0"/>
        <w:spacing w:before="120" w:after="120"/>
        <w:ind w:left="0" w:firstLine="567"/>
        <w:contextualSpacing w:val="0"/>
        <w:jc w:val="both"/>
        <w:rPr>
          <w:lang w:eastAsia="x-none"/>
        </w:rPr>
      </w:pPr>
      <w:r>
        <w:rPr>
          <w:lang w:eastAsia="x-none"/>
        </w:rPr>
        <w:t xml:space="preserve">- </w:t>
      </w:r>
      <w:r w:rsidRPr="009B349A">
        <w:rPr>
          <w:lang w:eastAsia="x-none"/>
        </w:rPr>
        <w:t xml:space="preserve">Phải </w:t>
      </w:r>
      <w:r w:rsidR="006210DB" w:rsidRPr="009B349A">
        <w:rPr>
          <w:lang w:eastAsia="x-none"/>
        </w:rPr>
        <w:t xml:space="preserve">có xác nhận </w:t>
      </w:r>
      <w:r w:rsidR="003A5314">
        <w:rPr>
          <w:lang w:eastAsia="x-none"/>
        </w:rPr>
        <w:t>t</w:t>
      </w:r>
      <w:r w:rsidR="00461F44" w:rsidRPr="009B349A">
        <w:rPr>
          <w:lang w:eastAsia="x-none"/>
        </w:rPr>
        <w:t>hi hành án</w:t>
      </w:r>
      <w:r w:rsidR="006210DB" w:rsidRPr="009B349A">
        <w:rPr>
          <w:lang w:eastAsia="x-none"/>
        </w:rPr>
        <w:t xml:space="preserve"> xong c</w:t>
      </w:r>
      <w:r w:rsidR="00461F44" w:rsidRPr="009B349A">
        <w:rPr>
          <w:lang w:eastAsia="x-none"/>
        </w:rPr>
        <w:t>ủa</w:t>
      </w:r>
      <w:r w:rsidR="006210DB" w:rsidRPr="009B349A">
        <w:rPr>
          <w:lang w:eastAsia="x-none"/>
        </w:rPr>
        <w:t xml:space="preserve"> cơ quan T</w:t>
      </w:r>
      <w:r w:rsidR="00461F44" w:rsidRPr="009B349A">
        <w:rPr>
          <w:lang w:eastAsia="x-none"/>
        </w:rPr>
        <w:t>hi hành án dân sự</w:t>
      </w:r>
      <w:r w:rsidR="009B349A">
        <w:rPr>
          <w:lang w:eastAsia="x-none"/>
        </w:rPr>
        <w:t>.</w:t>
      </w:r>
    </w:p>
    <w:p w14:paraId="05048CE4" w14:textId="65D87478" w:rsidR="003A5314" w:rsidRPr="009B349A" w:rsidRDefault="003A5314" w:rsidP="003D044F">
      <w:pPr>
        <w:pStyle w:val="ListParagraph"/>
        <w:widowControl w:val="0"/>
        <w:spacing w:before="120" w:after="120"/>
        <w:ind w:left="0" w:firstLine="567"/>
        <w:contextualSpacing w:val="0"/>
        <w:jc w:val="both"/>
        <w:rPr>
          <w:lang w:eastAsia="x-none"/>
        </w:rPr>
      </w:pPr>
      <w:r>
        <w:rPr>
          <w:lang w:eastAsia="x-none"/>
        </w:rPr>
        <w:t xml:space="preserve">- Trường hợp thi hành án xong một phần: phải có xác nhận thi hành án xong một phần và Quyết định đình chỉ thi </w:t>
      </w:r>
      <w:r w:rsidR="00851DF0">
        <w:rPr>
          <w:lang w:eastAsia="x-none"/>
        </w:rPr>
        <w:t>hà</w:t>
      </w:r>
      <w:r>
        <w:rPr>
          <w:lang w:eastAsia="x-none"/>
        </w:rPr>
        <w:t>nh án.</w:t>
      </w:r>
    </w:p>
    <w:p w14:paraId="435C9A10" w14:textId="77777777" w:rsidR="00193D56" w:rsidRPr="00B80047" w:rsidRDefault="00907C41" w:rsidP="003D044F">
      <w:pPr>
        <w:widowControl w:val="0"/>
        <w:spacing w:before="120" w:after="120"/>
        <w:ind w:firstLine="567"/>
        <w:jc w:val="both"/>
        <w:rPr>
          <w:spacing w:val="-4"/>
        </w:rPr>
      </w:pPr>
      <w:r>
        <w:rPr>
          <w:lang w:eastAsia="x-none"/>
        </w:rPr>
        <w:t xml:space="preserve">4. </w:t>
      </w:r>
      <w:r w:rsidR="007869FA">
        <w:rPr>
          <w:spacing w:val="-2"/>
        </w:rPr>
        <w:t>Nguồn k</w:t>
      </w:r>
      <w:r w:rsidR="007869FA" w:rsidRPr="003E781B">
        <w:rPr>
          <w:spacing w:val="-2"/>
          <w:lang w:val="vi-VN"/>
        </w:rPr>
        <w:t>inh phí thực hiện</w:t>
      </w:r>
      <w:r w:rsidR="007869FA">
        <w:rPr>
          <w:spacing w:val="-2"/>
        </w:rPr>
        <w:t>:</w:t>
      </w:r>
      <w:r w:rsidR="007869FA" w:rsidRPr="003E781B">
        <w:rPr>
          <w:spacing w:val="-2"/>
          <w:lang w:val="vi-VN"/>
        </w:rPr>
        <w:t xml:space="preserve"> </w:t>
      </w:r>
      <w:r w:rsidR="00193D56" w:rsidRPr="00B80047">
        <w:rPr>
          <w:spacing w:val="-4"/>
        </w:rPr>
        <w:t>từ nguồn ngân sách địa phương theo phân cấp quản lý ngân sách hiện hành</w:t>
      </w:r>
      <w:r w:rsidR="00930682">
        <w:rPr>
          <w:spacing w:val="-4"/>
        </w:rPr>
        <w:t>.</w:t>
      </w:r>
    </w:p>
    <w:p w14:paraId="528F273C" w14:textId="5A782403" w:rsidR="00193D56" w:rsidRPr="001D56B8" w:rsidRDefault="00193D56" w:rsidP="003D044F">
      <w:pPr>
        <w:widowControl w:val="0"/>
        <w:spacing w:before="120" w:after="120"/>
        <w:ind w:firstLine="567"/>
        <w:jc w:val="both"/>
        <w:rPr>
          <w:color w:val="000000" w:themeColor="text1"/>
          <w:spacing w:val="-4"/>
        </w:rPr>
      </w:pPr>
      <w:r w:rsidRPr="0004035D">
        <w:rPr>
          <w:b/>
          <w:spacing w:val="-4"/>
        </w:rPr>
        <w:t>Điều 2</w:t>
      </w:r>
      <w:r w:rsidRPr="0004035D">
        <w:rPr>
          <w:spacing w:val="-4"/>
        </w:rPr>
        <w:t>. Giao Ủy ban nhân dân tỉnh</w:t>
      </w:r>
      <w:r w:rsidR="00442ED8">
        <w:rPr>
          <w:spacing w:val="-4"/>
        </w:rPr>
        <w:t xml:space="preserve"> </w:t>
      </w:r>
      <w:r w:rsidR="002E29AA" w:rsidRPr="001D56B8">
        <w:rPr>
          <w:color w:val="000000" w:themeColor="text1"/>
          <w:spacing w:val="-4"/>
        </w:rPr>
        <w:t xml:space="preserve">phối hợp </w:t>
      </w:r>
      <w:r w:rsidR="00630356" w:rsidRPr="001D56B8">
        <w:rPr>
          <w:color w:val="000000" w:themeColor="text1"/>
          <w:spacing w:val="-4"/>
        </w:rPr>
        <w:t xml:space="preserve">với </w:t>
      </w:r>
      <w:r w:rsidR="002E29AA" w:rsidRPr="001D56B8">
        <w:rPr>
          <w:color w:val="000000" w:themeColor="text1"/>
          <w:spacing w:val="-4"/>
        </w:rPr>
        <w:t>các cơ quan tư pháp t</w:t>
      </w:r>
      <w:r w:rsidRPr="001D56B8">
        <w:rPr>
          <w:color w:val="000000" w:themeColor="text1"/>
          <w:spacing w:val="-4"/>
        </w:rPr>
        <w:t>ổ chức triển khai thực hiện Nghị quyết này.</w:t>
      </w:r>
    </w:p>
    <w:p w14:paraId="3CA3BC45" w14:textId="741F749A" w:rsidR="00FF6356" w:rsidRPr="001D56B8" w:rsidRDefault="00FF6356" w:rsidP="003D044F">
      <w:pPr>
        <w:widowControl w:val="0"/>
        <w:spacing w:before="120" w:after="120"/>
        <w:ind w:firstLine="567"/>
        <w:jc w:val="both"/>
        <w:rPr>
          <w:color w:val="000000" w:themeColor="text1"/>
          <w:spacing w:val="-4"/>
          <w:lang w:val="vi-VN"/>
        </w:rPr>
      </w:pPr>
      <w:r w:rsidRPr="001D56B8">
        <w:rPr>
          <w:color w:val="000000" w:themeColor="text1"/>
          <w:spacing w:val="-4"/>
          <w:lang w:val="vi-VN"/>
        </w:rPr>
        <w:t xml:space="preserve">Trong quá trình tổ chức triển khai thực hiện, </w:t>
      </w:r>
      <w:r w:rsidR="00212E41" w:rsidRPr="001D56B8">
        <w:rPr>
          <w:color w:val="000000" w:themeColor="text1"/>
          <w:spacing w:val="-4"/>
        </w:rPr>
        <w:t>trường hợp</w:t>
      </w:r>
      <w:r w:rsidRPr="001D56B8">
        <w:rPr>
          <w:color w:val="000000" w:themeColor="text1"/>
          <w:spacing w:val="-4"/>
          <w:lang w:val="vi-VN"/>
        </w:rPr>
        <w:t xml:space="preserve"> các văn bản </w:t>
      </w:r>
      <w:r w:rsidR="0002257B" w:rsidRPr="001D56B8">
        <w:rPr>
          <w:color w:val="000000" w:themeColor="text1"/>
          <w:spacing w:val="-4"/>
        </w:rPr>
        <w:t>căn cứ</w:t>
      </w:r>
      <w:r w:rsidRPr="001D56B8">
        <w:rPr>
          <w:color w:val="000000" w:themeColor="text1"/>
          <w:spacing w:val="-4"/>
          <w:lang w:val="vi-VN"/>
        </w:rPr>
        <w:t xml:space="preserve"> </w:t>
      </w:r>
      <w:r w:rsidR="0002257B" w:rsidRPr="001D56B8">
        <w:rPr>
          <w:color w:val="000000" w:themeColor="text1"/>
          <w:spacing w:val="-4"/>
        </w:rPr>
        <w:t>của</w:t>
      </w:r>
      <w:r w:rsidRPr="001D56B8">
        <w:rPr>
          <w:color w:val="000000" w:themeColor="text1"/>
          <w:spacing w:val="-4"/>
          <w:lang w:val="vi-VN"/>
        </w:rPr>
        <w:t xml:space="preserve"> Nghị quyết này được sửa đổi, bổ sung hoặc thay thế thì thực hiện theo các văn bản sửa đổi, bổ sung hoặc thay thế.</w:t>
      </w:r>
    </w:p>
    <w:p w14:paraId="58E11751" w14:textId="77777777" w:rsidR="00193D56" w:rsidRPr="00210D43" w:rsidRDefault="00193D56" w:rsidP="003D044F">
      <w:pPr>
        <w:widowControl w:val="0"/>
        <w:tabs>
          <w:tab w:val="left" w:pos="1122"/>
        </w:tabs>
        <w:spacing w:before="120" w:after="120"/>
        <w:ind w:firstLine="567"/>
        <w:jc w:val="both"/>
      </w:pPr>
      <w:r w:rsidRPr="00B80047">
        <w:rPr>
          <w:b/>
        </w:rPr>
        <w:t xml:space="preserve">Điều 3. </w:t>
      </w:r>
      <w:r w:rsidRPr="00B80047">
        <w:t>Thường trực Hội đồng nhân dân, các Ban của Hội đồng nhân dân, các Tổ đại biểu và đại biểu Hội đồng nhân dân tỉnh giám sát việc thực hiện Nghị quyết này.</w:t>
      </w:r>
    </w:p>
    <w:p w14:paraId="4E485531" w14:textId="20387562" w:rsidR="00193D56" w:rsidRPr="007E5765" w:rsidRDefault="00193D56" w:rsidP="003D044F">
      <w:pPr>
        <w:widowControl w:val="0"/>
        <w:spacing w:before="120" w:after="120"/>
        <w:ind w:firstLine="567"/>
        <w:jc w:val="both"/>
      </w:pPr>
      <w:r w:rsidRPr="00B80047">
        <w:lastRenderedPageBreak/>
        <w:t>Nghị quyết này đã được Hội đồng</w:t>
      </w:r>
      <w:r w:rsidR="00930682">
        <w:t xml:space="preserve"> nhân dân tỉnh Bình Dương khóa </w:t>
      </w:r>
      <w:r w:rsidRPr="00B80047">
        <w:t xml:space="preserve">X, kỳ họp thứ </w:t>
      </w:r>
      <w:r w:rsidR="003A5314">
        <w:t xml:space="preserve">19 </w:t>
      </w:r>
      <w:r w:rsidRPr="00B80047">
        <w:t>thông qua ngày</w:t>
      </w:r>
      <w:r w:rsidR="00930682">
        <w:t xml:space="preserve"> </w:t>
      </w:r>
      <w:r w:rsidR="0080521C">
        <w:rPr>
          <w:lang w:val="vi-VN"/>
        </w:rPr>
        <w:t xml:space="preserve">10 </w:t>
      </w:r>
      <w:r w:rsidRPr="00B80047">
        <w:t>tháng</w:t>
      </w:r>
      <w:r w:rsidR="00321648">
        <w:t xml:space="preserve"> </w:t>
      </w:r>
      <w:r w:rsidR="003A5314">
        <w:t>12</w:t>
      </w:r>
      <w:r w:rsidR="00930682">
        <w:t xml:space="preserve"> </w:t>
      </w:r>
      <w:r w:rsidRPr="00B80047">
        <w:t>năm 202</w:t>
      </w:r>
      <w:r w:rsidR="00930682">
        <w:t xml:space="preserve">4 </w:t>
      </w:r>
      <w:r w:rsidR="009A28B5">
        <w:t xml:space="preserve">và có hiệu lực kể từ ngày </w:t>
      </w:r>
      <w:r w:rsidR="003A5314">
        <w:t>01</w:t>
      </w:r>
      <w:r w:rsidR="00930682">
        <w:t xml:space="preserve"> </w:t>
      </w:r>
      <w:r w:rsidRPr="00B80047">
        <w:t>tháng</w:t>
      </w:r>
      <w:r w:rsidR="003A5314">
        <w:t xml:space="preserve"> 01</w:t>
      </w:r>
      <w:r w:rsidR="009A28B5">
        <w:t xml:space="preserve"> năm 202</w:t>
      </w:r>
      <w:r w:rsidR="00977176">
        <w:t>5</w:t>
      </w:r>
      <w:r w:rsidR="00D64EF8">
        <w:t>.</w:t>
      </w:r>
      <w:r w:rsidRPr="00B80047">
        <w:t>/.</w:t>
      </w:r>
    </w:p>
    <w:tbl>
      <w:tblPr>
        <w:tblW w:w="9073" w:type="dxa"/>
        <w:tblLook w:val="01E0" w:firstRow="1" w:lastRow="1" w:firstColumn="1" w:lastColumn="1" w:noHBand="0" w:noVBand="0"/>
      </w:tblPr>
      <w:tblGrid>
        <w:gridCol w:w="5387"/>
        <w:gridCol w:w="3686"/>
      </w:tblGrid>
      <w:tr w:rsidR="00193D56" w:rsidRPr="00B80047" w14:paraId="16D4EC3E" w14:textId="77777777" w:rsidTr="009A28B5">
        <w:tc>
          <w:tcPr>
            <w:tcW w:w="5387" w:type="dxa"/>
            <w:shd w:val="clear" w:color="auto" w:fill="auto"/>
          </w:tcPr>
          <w:p w14:paraId="47F91FAD" w14:textId="77777777" w:rsidR="00DD4BEB" w:rsidRPr="005E7B98" w:rsidRDefault="00DD4BEB" w:rsidP="00DD4BEB">
            <w:pPr>
              <w:shd w:val="clear" w:color="auto" w:fill="FFFFFF"/>
              <w:ind w:left="-111"/>
              <w:jc w:val="both"/>
              <w:rPr>
                <w:b/>
                <w:i/>
                <w:sz w:val="24"/>
                <w:lang w:val="vi-VN"/>
              </w:rPr>
            </w:pPr>
            <w:r w:rsidRPr="005E7B98">
              <w:rPr>
                <w:b/>
                <w:i/>
                <w:sz w:val="24"/>
                <w:lang w:val="vi-VN"/>
              </w:rPr>
              <w:t>Nơi nhận:</w:t>
            </w:r>
          </w:p>
          <w:p w14:paraId="3B4118BF" w14:textId="77777777" w:rsidR="00DD4BEB" w:rsidRPr="00DD4BEB" w:rsidRDefault="00DD4BEB" w:rsidP="00DA2A56">
            <w:pPr>
              <w:shd w:val="clear" w:color="auto" w:fill="FFFFFF"/>
              <w:ind w:left="-113"/>
              <w:jc w:val="both"/>
              <w:rPr>
                <w:sz w:val="22"/>
                <w:szCs w:val="22"/>
                <w:lang w:val="vi-VN"/>
              </w:rPr>
            </w:pPr>
            <w:r w:rsidRPr="00DD4BEB">
              <w:rPr>
                <w:sz w:val="22"/>
                <w:szCs w:val="22"/>
                <w:lang w:val="vi-VN"/>
              </w:rPr>
              <w:t>- Ủy ban thường vụ Quốc hội;</w:t>
            </w:r>
          </w:p>
          <w:p w14:paraId="4B5F3C9D" w14:textId="6E6C6D6F" w:rsidR="00DD4BEB" w:rsidRDefault="00DD4BEB" w:rsidP="00DA2A56">
            <w:pPr>
              <w:shd w:val="clear" w:color="auto" w:fill="FFFFFF"/>
              <w:ind w:left="-113"/>
              <w:jc w:val="both"/>
              <w:rPr>
                <w:sz w:val="22"/>
                <w:szCs w:val="22"/>
                <w:lang w:val="vi-VN"/>
              </w:rPr>
            </w:pPr>
            <w:r w:rsidRPr="00DD4BEB">
              <w:rPr>
                <w:sz w:val="22"/>
                <w:szCs w:val="22"/>
                <w:lang w:val="vi-VN"/>
              </w:rPr>
              <w:t>- Văn phòng: Quốc hội, Chính phủ, Ban CTĐB;</w:t>
            </w:r>
          </w:p>
          <w:p w14:paraId="50AF1DEE" w14:textId="37891027" w:rsidR="003A5314" w:rsidRDefault="003A5314" w:rsidP="00DA2A56">
            <w:pPr>
              <w:shd w:val="clear" w:color="auto" w:fill="FFFFFF"/>
              <w:ind w:left="-113"/>
              <w:jc w:val="both"/>
              <w:rPr>
                <w:sz w:val="22"/>
                <w:szCs w:val="22"/>
              </w:rPr>
            </w:pPr>
            <w:r>
              <w:rPr>
                <w:sz w:val="22"/>
                <w:szCs w:val="22"/>
              </w:rPr>
              <w:t xml:space="preserve">- </w:t>
            </w:r>
            <w:r w:rsidR="000F0454">
              <w:rPr>
                <w:sz w:val="22"/>
                <w:szCs w:val="22"/>
              </w:rPr>
              <w:t xml:space="preserve">Các </w:t>
            </w:r>
            <w:r>
              <w:rPr>
                <w:sz w:val="22"/>
                <w:szCs w:val="22"/>
              </w:rPr>
              <w:t>Bộ</w:t>
            </w:r>
            <w:r w:rsidR="000F0454">
              <w:rPr>
                <w:sz w:val="22"/>
                <w:szCs w:val="22"/>
              </w:rPr>
              <w:t>:</w:t>
            </w:r>
            <w:r>
              <w:rPr>
                <w:sz w:val="22"/>
                <w:szCs w:val="22"/>
              </w:rPr>
              <w:t xml:space="preserve"> Tư pháp</w:t>
            </w:r>
            <w:r w:rsidR="000F0454">
              <w:rPr>
                <w:sz w:val="22"/>
                <w:szCs w:val="22"/>
              </w:rPr>
              <w:t>, Tài chính</w:t>
            </w:r>
            <w:r>
              <w:rPr>
                <w:sz w:val="22"/>
                <w:szCs w:val="22"/>
              </w:rPr>
              <w:t>;</w:t>
            </w:r>
          </w:p>
          <w:p w14:paraId="07EFDF83" w14:textId="09A875B6" w:rsidR="003A5314" w:rsidRDefault="003A5314" w:rsidP="00DA2A56">
            <w:pPr>
              <w:shd w:val="clear" w:color="auto" w:fill="FFFFFF"/>
              <w:ind w:left="-113"/>
              <w:jc w:val="both"/>
              <w:rPr>
                <w:sz w:val="22"/>
                <w:szCs w:val="22"/>
              </w:rPr>
            </w:pPr>
            <w:r>
              <w:rPr>
                <w:sz w:val="22"/>
                <w:szCs w:val="22"/>
              </w:rPr>
              <w:t>- TAND tối cao, VKSND tối cao;</w:t>
            </w:r>
          </w:p>
          <w:p w14:paraId="1EB86E62" w14:textId="4CA3A9F4" w:rsidR="003A5314" w:rsidRPr="003A5314" w:rsidRDefault="003A5314" w:rsidP="00DA2A56">
            <w:pPr>
              <w:shd w:val="clear" w:color="auto" w:fill="FFFFFF"/>
              <w:ind w:left="-113"/>
              <w:jc w:val="both"/>
              <w:rPr>
                <w:sz w:val="22"/>
                <w:szCs w:val="22"/>
              </w:rPr>
            </w:pPr>
            <w:r>
              <w:rPr>
                <w:sz w:val="22"/>
                <w:szCs w:val="22"/>
              </w:rPr>
              <w:t>- Tổng Cục THADS;</w:t>
            </w:r>
          </w:p>
          <w:p w14:paraId="1FA53C16" w14:textId="77777777" w:rsidR="00DD4BEB" w:rsidRPr="00DD4BEB" w:rsidRDefault="00DD4BEB" w:rsidP="00DA2A56">
            <w:pPr>
              <w:shd w:val="clear" w:color="auto" w:fill="FFFFFF"/>
              <w:ind w:left="-113"/>
              <w:jc w:val="both"/>
              <w:rPr>
                <w:sz w:val="22"/>
                <w:szCs w:val="22"/>
                <w:lang w:val="vi-VN"/>
              </w:rPr>
            </w:pPr>
            <w:r w:rsidRPr="00DD4BEB">
              <w:rPr>
                <w:sz w:val="22"/>
                <w:szCs w:val="22"/>
                <w:lang w:val="vi-VN"/>
              </w:rPr>
              <w:t>- Cục Kiểm tra văn bản QPPL - Bộ Tư pháp;</w:t>
            </w:r>
          </w:p>
          <w:p w14:paraId="625A1D69" w14:textId="77777777" w:rsidR="00E11E85" w:rsidRDefault="00DD4BEB" w:rsidP="00DA2A56">
            <w:pPr>
              <w:shd w:val="clear" w:color="auto" w:fill="FFFFFF"/>
              <w:ind w:left="-113"/>
              <w:jc w:val="both"/>
              <w:rPr>
                <w:sz w:val="22"/>
                <w:szCs w:val="22"/>
                <w:lang w:val="vi-VN"/>
              </w:rPr>
            </w:pPr>
            <w:r w:rsidRPr="00DD4BEB">
              <w:rPr>
                <w:sz w:val="22"/>
                <w:szCs w:val="22"/>
                <w:lang w:val="vi-VN"/>
              </w:rPr>
              <w:t>- Thường trực Tỉnh ủy</w:t>
            </w:r>
            <w:r w:rsidR="00E11E85">
              <w:rPr>
                <w:sz w:val="22"/>
                <w:szCs w:val="22"/>
                <w:lang w:val="vi-VN"/>
              </w:rPr>
              <w:t>;</w:t>
            </w:r>
          </w:p>
          <w:p w14:paraId="20FEE4CC" w14:textId="36272A86" w:rsidR="00DD4BEB" w:rsidRPr="00DD4BEB" w:rsidRDefault="00E11E85" w:rsidP="00DA2A56">
            <w:pPr>
              <w:shd w:val="clear" w:color="auto" w:fill="FFFFFF"/>
              <w:ind w:left="-113"/>
              <w:jc w:val="both"/>
              <w:rPr>
                <w:sz w:val="22"/>
                <w:szCs w:val="22"/>
                <w:lang w:val="vi-VN"/>
              </w:rPr>
            </w:pPr>
            <w:r>
              <w:rPr>
                <w:sz w:val="22"/>
                <w:szCs w:val="22"/>
                <w:lang w:val="vi-VN"/>
              </w:rPr>
              <w:t>-</w:t>
            </w:r>
            <w:r w:rsidR="00DD4BEB" w:rsidRPr="00DD4BEB">
              <w:rPr>
                <w:sz w:val="22"/>
                <w:szCs w:val="22"/>
                <w:lang w:val="vi-VN"/>
              </w:rPr>
              <w:t xml:space="preserve"> Đoàn đại biểu Quốc hội tỉnh;</w:t>
            </w:r>
          </w:p>
          <w:p w14:paraId="6D9C208D" w14:textId="77777777" w:rsidR="00DD4BEB" w:rsidRPr="00DD4BEB" w:rsidRDefault="00DD4BEB" w:rsidP="00DA2A56">
            <w:pPr>
              <w:shd w:val="clear" w:color="auto" w:fill="FFFFFF"/>
              <w:ind w:left="-113"/>
              <w:jc w:val="both"/>
              <w:rPr>
                <w:sz w:val="22"/>
                <w:szCs w:val="22"/>
                <w:lang w:val="vi-VN"/>
              </w:rPr>
            </w:pPr>
            <w:r w:rsidRPr="00DD4BEB">
              <w:rPr>
                <w:sz w:val="22"/>
                <w:szCs w:val="22"/>
                <w:lang w:val="vi-VN"/>
              </w:rPr>
              <w:t>- Thường trực HĐND, UBND, UBMTTQVN tỉnh;</w:t>
            </w:r>
          </w:p>
          <w:p w14:paraId="1999B524" w14:textId="77777777" w:rsidR="00DD4BEB" w:rsidRPr="00DD4BEB" w:rsidRDefault="00DD4BEB" w:rsidP="00DA2A56">
            <w:pPr>
              <w:shd w:val="clear" w:color="auto" w:fill="FFFFFF"/>
              <w:ind w:left="-113"/>
              <w:jc w:val="both"/>
              <w:rPr>
                <w:sz w:val="22"/>
                <w:szCs w:val="22"/>
                <w:lang w:val="vi-VN"/>
              </w:rPr>
            </w:pPr>
            <w:r w:rsidRPr="00DD4BEB">
              <w:rPr>
                <w:sz w:val="22"/>
                <w:szCs w:val="22"/>
                <w:lang w:val="vi-VN"/>
              </w:rPr>
              <w:t>- Đại biểu Hội đồng nhân dân tỉnh;</w:t>
            </w:r>
          </w:p>
          <w:p w14:paraId="38C6D98E" w14:textId="722737D2" w:rsidR="00DD4BEB" w:rsidRDefault="00DD4BEB" w:rsidP="00DA2A56">
            <w:pPr>
              <w:shd w:val="clear" w:color="auto" w:fill="FFFFFF"/>
              <w:ind w:left="-113"/>
              <w:jc w:val="both"/>
              <w:rPr>
                <w:sz w:val="22"/>
                <w:szCs w:val="22"/>
                <w:lang w:val="vi-VN"/>
              </w:rPr>
            </w:pPr>
            <w:r w:rsidRPr="00DD4BEB">
              <w:rPr>
                <w:sz w:val="22"/>
                <w:szCs w:val="22"/>
                <w:lang w:val="vi-VN"/>
              </w:rPr>
              <w:t xml:space="preserve">- Các </w:t>
            </w:r>
            <w:r w:rsidRPr="00DD4BEB">
              <w:rPr>
                <w:sz w:val="22"/>
                <w:szCs w:val="22"/>
              </w:rPr>
              <w:t>s</w:t>
            </w:r>
            <w:r w:rsidRPr="00DD4BEB">
              <w:rPr>
                <w:sz w:val="22"/>
                <w:szCs w:val="22"/>
                <w:lang w:val="vi-VN"/>
              </w:rPr>
              <w:t>ở, ban, ngành</w:t>
            </w:r>
            <w:r w:rsidRPr="00DD4BEB">
              <w:rPr>
                <w:sz w:val="22"/>
                <w:szCs w:val="22"/>
              </w:rPr>
              <w:t>, đoàn thể cấp</w:t>
            </w:r>
            <w:r w:rsidRPr="00DD4BEB">
              <w:rPr>
                <w:sz w:val="22"/>
                <w:szCs w:val="22"/>
                <w:lang w:val="vi-VN"/>
              </w:rPr>
              <w:t xml:space="preserve"> tỉnh;</w:t>
            </w:r>
          </w:p>
          <w:p w14:paraId="65956E05" w14:textId="1B1D9775" w:rsidR="000F0454" w:rsidRPr="000F0454" w:rsidRDefault="000F0454" w:rsidP="00DA2A56">
            <w:pPr>
              <w:shd w:val="clear" w:color="auto" w:fill="FFFFFF"/>
              <w:ind w:left="-113"/>
              <w:jc w:val="both"/>
              <w:rPr>
                <w:sz w:val="22"/>
                <w:szCs w:val="22"/>
              </w:rPr>
            </w:pPr>
            <w:r>
              <w:rPr>
                <w:sz w:val="22"/>
                <w:szCs w:val="22"/>
              </w:rPr>
              <w:t>- VKSND, TAND, THA 02 cấp;</w:t>
            </w:r>
          </w:p>
          <w:p w14:paraId="3F94EE42" w14:textId="77777777" w:rsidR="00DD4BEB" w:rsidRPr="00DD4BEB" w:rsidRDefault="00DD4BEB" w:rsidP="00DA2A56">
            <w:pPr>
              <w:shd w:val="clear" w:color="auto" w:fill="FFFFFF"/>
              <w:ind w:left="-113"/>
              <w:jc w:val="both"/>
              <w:rPr>
                <w:sz w:val="22"/>
                <w:szCs w:val="22"/>
                <w:lang w:val="vi-VN"/>
              </w:rPr>
            </w:pPr>
            <w:r w:rsidRPr="00DD4BEB">
              <w:rPr>
                <w:sz w:val="22"/>
                <w:szCs w:val="22"/>
                <w:lang w:val="vi-VN"/>
              </w:rPr>
              <w:t>- LĐVP: Tỉnh ủy, Đoàn ĐBQH, HĐND, UBND tỉnh;</w:t>
            </w:r>
          </w:p>
          <w:p w14:paraId="4F85335E" w14:textId="77777777" w:rsidR="00DD4BEB" w:rsidRPr="00DD4BEB" w:rsidRDefault="00DD4BEB" w:rsidP="00DA2A56">
            <w:pPr>
              <w:shd w:val="clear" w:color="auto" w:fill="FFFFFF"/>
              <w:ind w:left="-113"/>
              <w:jc w:val="both"/>
              <w:rPr>
                <w:sz w:val="22"/>
                <w:szCs w:val="22"/>
                <w:lang w:val="vi-VN"/>
              </w:rPr>
            </w:pPr>
            <w:r w:rsidRPr="00DD4BEB">
              <w:rPr>
                <w:sz w:val="22"/>
                <w:szCs w:val="22"/>
                <w:lang w:val="vi-VN"/>
              </w:rPr>
              <w:t>- Thường trực HĐND, UBND cấp huyện;</w:t>
            </w:r>
          </w:p>
          <w:p w14:paraId="44106B60" w14:textId="77777777" w:rsidR="00DD4BEB" w:rsidRPr="00DD4BEB" w:rsidRDefault="00DD4BEB" w:rsidP="00DA2A56">
            <w:pPr>
              <w:shd w:val="clear" w:color="auto" w:fill="FFFFFF"/>
              <w:ind w:left="-113"/>
              <w:jc w:val="both"/>
              <w:rPr>
                <w:sz w:val="22"/>
                <w:szCs w:val="22"/>
                <w:lang w:val="vi-VN"/>
              </w:rPr>
            </w:pPr>
            <w:r w:rsidRPr="00DD4BEB">
              <w:rPr>
                <w:sz w:val="22"/>
                <w:szCs w:val="22"/>
                <w:lang w:val="vi-VN"/>
              </w:rPr>
              <w:t>- Cơ sở dữ liệu Quốc gia về pháp luật (Sở Tư pháp);</w:t>
            </w:r>
          </w:p>
          <w:p w14:paraId="44F40DA1" w14:textId="1900ACA2" w:rsidR="000B612B" w:rsidRDefault="00DD4BEB" w:rsidP="00DA2A56">
            <w:pPr>
              <w:shd w:val="clear" w:color="auto" w:fill="FFFFFF"/>
              <w:ind w:left="-113"/>
              <w:jc w:val="both"/>
              <w:rPr>
                <w:sz w:val="22"/>
                <w:szCs w:val="22"/>
                <w:lang w:val="vi-VN"/>
              </w:rPr>
            </w:pPr>
            <w:r w:rsidRPr="00DD4BEB">
              <w:rPr>
                <w:sz w:val="22"/>
                <w:szCs w:val="22"/>
                <w:lang w:val="vi-VN"/>
              </w:rPr>
              <w:t>- Trung tâm Công báo tỉnh, Website</w:t>
            </w:r>
            <w:r w:rsidR="00E11E85">
              <w:rPr>
                <w:sz w:val="22"/>
                <w:szCs w:val="22"/>
                <w:lang w:val="vi-VN"/>
              </w:rPr>
              <w:t xml:space="preserve"> tỉnh</w:t>
            </w:r>
            <w:r w:rsidRPr="00DD4BEB">
              <w:rPr>
                <w:sz w:val="22"/>
                <w:szCs w:val="22"/>
                <w:lang w:val="vi-VN"/>
              </w:rPr>
              <w:t>, Báo, Đài PT-TH;</w:t>
            </w:r>
          </w:p>
          <w:p w14:paraId="61BBA577" w14:textId="2D2FDD6A" w:rsidR="000B612B" w:rsidRPr="00E11E85" w:rsidRDefault="000B612B" w:rsidP="00DA2A56">
            <w:pPr>
              <w:shd w:val="clear" w:color="auto" w:fill="FFFFFF"/>
              <w:ind w:left="-113"/>
              <w:jc w:val="both"/>
              <w:rPr>
                <w:sz w:val="22"/>
                <w:szCs w:val="22"/>
                <w:lang w:val="vi-VN"/>
              </w:rPr>
            </w:pPr>
            <w:r>
              <w:rPr>
                <w:sz w:val="22"/>
                <w:szCs w:val="22"/>
              </w:rPr>
              <w:t xml:space="preserve">- </w:t>
            </w:r>
            <w:r w:rsidR="00930682">
              <w:rPr>
                <w:sz w:val="22"/>
                <w:szCs w:val="22"/>
              </w:rPr>
              <w:t>Các phòng</w:t>
            </w:r>
            <w:r w:rsidR="00E11E85">
              <w:rPr>
                <w:sz w:val="22"/>
                <w:szCs w:val="22"/>
                <w:lang w:val="vi-VN"/>
              </w:rPr>
              <w:t>, App, Web;</w:t>
            </w:r>
          </w:p>
          <w:p w14:paraId="76C7A71C" w14:textId="5E4213F1" w:rsidR="00193D56" w:rsidRPr="00E11E85" w:rsidRDefault="00DD4BEB" w:rsidP="00DA2A56">
            <w:pPr>
              <w:shd w:val="clear" w:color="auto" w:fill="FFFFFF"/>
              <w:ind w:left="-113"/>
              <w:jc w:val="both"/>
              <w:rPr>
                <w:sz w:val="22"/>
                <w:szCs w:val="22"/>
                <w:lang w:val="vi-VN"/>
              </w:rPr>
            </w:pPr>
            <w:r w:rsidRPr="00DD4BEB">
              <w:rPr>
                <w:sz w:val="22"/>
                <w:szCs w:val="22"/>
                <w:lang w:val="vi-VN"/>
              </w:rPr>
              <w:t>- Lưu: VT</w:t>
            </w:r>
            <w:r w:rsidR="009A28B5">
              <w:rPr>
                <w:sz w:val="22"/>
                <w:szCs w:val="22"/>
              </w:rPr>
              <w:t xml:space="preserve">, </w:t>
            </w:r>
            <w:r w:rsidR="00E11E85">
              <w:rPr>
                <w:sz w:val="22"/>
                <w:szCs w:val="22"/>
                <w:lang w:val="vi-VN"/>
              </w:rPr>
              <w:t>Ly (4).</w:t>
            </w:r>
          </w:p>
        </w:tc>
        <w:tc>
          <w:tcPr>
            <w:tcW w:w="3686" w:type="dxa"/>
            <w:shd w:val="clear" w:color="auto" w:fill="auto"/>
          </w:tcPr>
          <w:p w14:paraId="6462D80D" w14:textId="77777777" w:rsidR="00193D56" w:rsidRDefault="00193D56" w:rsidP="00E409D4">
            <w:pPr>
              <w:jc w:val="center"/>
              <w:rPr>
                <w:b/>
              </w:rPr>
            </w:pPr>
            <w:r w:rsidRPr="00B80047">
              <w:rPr>
                <w:b/>
              </w:rPr>
              <w:t>CHỦ TỊCH</w:t>
            </w:r>
          </w:p>
          <w:p w14:paraId="3F0766BB" w14:textId="77777777" w:rsidR="009A28B5" w:rsidRDefault="009A28B5" w:rsidP="00E409D4">
            <w:pPr>
              <w:jc w:val="center"/>
              <w:rPr>
                <w:b/>
              </w:rPr>
            </w:pPr>
          </w:p>
          <w:p w14:paraId="19FCDF04" w14:textId="77777777" w:rsidR="009A28B5" w:rsidRDefault="009A28B5" w:rsidP="00E409D4">
            <w:pPr>
              <w:jc w:val="center"/>
              <w:rPr>
                <w:b/>
              </w:rPr>
            </w:pPr>
          </w:p>
          <w:p w14:paraId="15045015" w14:textId="146EE232" w:rsidR="009A28B5" w:rsidRPr="003D044F" w:rsidRDefault="003D044F" w:rsidP="00E409D4">
            <w:pPr>
              <w:jc w:val="center"/>
              <w:rPr>
                <w:i/>
                <w:lang w:val="vi-VN"/>
              </w:rPr>
            </w:pPr>
            <w:r w:rsidRPr="003D044F">
              <w:rPr>
                <w:i/>
                <w:lang w:val="vi-VN"/>
              </w:rPr>
              <w:t>(Đã ký)</w:t>
            </w:r>
          </w:p>
          <w:p w14:paraId="6180EEDF" w14:textId="77777777" w:rsidR="009A28B5" w:rsidRDefault="009A28B5" w:rsidP="00E409D4">
            <w:pPr>
              <w:jc w:val="center"/>
              <w:rPr>
                <w:b/>
              </w:rPr>
            </w:pPr>
          </w:p>
          <w:p w14:paraId="2A58D886" w14:textId="77777777" w:rsidR="009A28B5" w:rsidRDefault="009A28B5" w:rsidP="00C62FBE">
            <w:pPr>
              <w:rPr>
                <w:b/>
              </w:rPr>
            </w:pPr>
          </w:p>
          <w:p w14:paraId="2D775BA8" w14:textId="77777777" w:rsidR="009A28B5" w:rsidRPr="00B80047" w:rsidRDefault="00930682" w:rsidP="00E409D4">
            <w:pPr>
              <w:jc w:val="center"/>
              <w:rPr>
                <w:b/>
              </w:rPr>
            </w:pPr>
            <w:r>
              <w:rPr>
                <w:b/>
              </w:rPr>
              <w:t>Nguyễn Văn Lộc</w:t>
            </w:r>
          </w:p>
          <w:p w14:paraId="570400BD" w14:textId="77777777" w:rsidR="00193D56" w:rsidRPr="00B80047" w:rsidRDefault="00193D56" w:rsidP="00E409D4">
            <w:pPr>
              <w:jc w:val="center"/>
              <w:rPr>
                <w:b/>
              </w:rPr>
            </w:pPr>
          </w:p>
          <w:p w14:paraId="4F9D4227" w14:textId="77777777" w:rsidR="00193D56" w:rsidRPr="00B80047" w:rsidRDefault="00193D56" w:rsidP="00E409D4">
            <w:pPr>
              <w:jc w:val="center"/>
              <w:rPr>
                <w:b/>
              </w:rPr>
            </w:pPr>
          </w:p>
          <w:p w14:paraId="5EFFB6CC" w14:textId="77777777" w:rsidR="00193D56" w:rsidRPr="00B80047" w:rsidRDefault="00193D56" w:rsidP="00E409D4">
            <w:pPr>
              <w:jc w:val="center"/>
              <w:rPr>
                <w:b/>
              </w:rPr>
            </w:pPr>
          </w:p>
          <w:p w14:paraId="131487C7" w14:textId="77777777" w:rsidR="00193D56" w:rsidRPr="00B80047" w:rsidRDefault="00193D56" w:rsidP="00E409D4">
            <w:pPr>
              <w:jc w:val="center"/>
              <w:rPr>
                <w:b/>
              </w:rPr>
            </w:pPr>
          </w:p>
          <w:p w14:paraId="15A9A4B4" w14:textId="77777777" w:rsidR="00193D56" w:rsidRPr="00B80047" w:rsidRDefault="00193D56" w:rsidP="00E409D4">
            <w:pPr>
              <w:jc w:val="center"/>
              <w:rPr>
                <w:b/>
              </w:rPr>
            </w:pPr>
          </w:p>
          <w:p w14:paraId="282044D7" w14:textId="77777777" w:rsidR="00193D56" w:rsidRPr="00B80047" w:rsidRDefault="00193D56" w:rsidP="00E409D4">
            <w:pPr>
              <w:jc w:val="center"/>
              <w:rPr>
                <w:b/>
              </w:rPr>
            </w:pPr>
          </w:p>
          <w:p w14:paraId="78FDAF76" w14:textId="77777777" w:rsidR="00193D56" w:rsidRPr="00B80047" w:rsidRDefault="00193D56" w:rsidP="00E409D4">
            <w:pPr>
              <w:jc w:val="center"/>
              <w:rPr>
                <w:b/>
              </w:rPr>
            </w:pPr>
          </w:p>
          <w:p w14:paraId="37414D62" w14:textId="77777777" w:rsidR="00193D56" w:rsidRPr="00B80047" w:rsidRDefault="00193D56" w:rsidP="00E409D4">
            <w:pPr>
              <w:jc w:val="center"/>
              <w:rPr>
                <w:b/>
              </w:rPr>
            </w:pPr>
          </w:p>
          <w:p w14:paraId="5F428AD5" w14:textId="77777777" w:rsidR="00193D56" w:rsidRPr="00B80047" w:rsidRDefault="00193D56" w:rsidP="00E409D4">
            <w:pPr>
              <w:jc w:val="center"/>
              <w:rPr>
                <w:b/>
              </w:rPr>
            </w:pPr>
          </w:p>
        </w:tc>
      </w:tr>
    </w:tbl>
    <w:p w14:paraId="0177B85B" w14:textId="77777777" w:rsidR="00BB61CD" w:rsidRDefault="00BB61CD"/>
    <w:sectPr w:rsidR="00BB61CD" w:rsidSect="003D044F">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45180" w14:textId="77777777" w:rsidR="0082760E" w:rsidRDefault="0082760E" w:rsidP="009A28B5">
      <w:r>
        <w:separator/>
      </w:r>
    </w:p>
  </w:endnote>
  <w:endnote w:type="continuationSeparator" w:id="0">
    <w:p w14:paraId="37EBF7B2" w14:textId="77777777" w:rsidR="0082760E" w:rsidRDefault="0082760E" w:rsidP="009A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CB975" w14:textId="77777777" w:rsidR="0082760E" w:rsidRDefault="0082760E" w:rsidP="009A28B5">
      <w:r>
        <w:separator/>
      </w:r>
    </w:p>
  </w:footnote>
  <w:footnote w:type="continuationSeparator" w:id="0">
    <w:p w14:paraId="2E1CF04D" w14:textId="77777777" w:rsidR="0082760E" w:rsidRDefault="0082760E" w:rsidP="009A28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833943"/>
      <w:docPartObj>
        <w:docPartGallery w:val="Page Numbers (Top of Page)"/>
        <w:docPartUnique/>
      </w:docPartObj>
    </w:sdtPr>
    <w:sdtEndPr>
      <w:rPr>
        <w:noProof/>
      </w:rPr>
    </w:sdtEndPr>
    <w:sdtContent>
      <w:p w14:paraId="4BDF7593" w14:textId="739EB706" w:rsidR="009A28B5" w:rsidRDefault="009A28B5">
        <w:pPr>
          <w:pStyle w:val="Header"/>
          <w:jc w:val="center"/>
        </w:pPr>
        <w:r>
          <w:fldChar w:fldCharType="begin"/>
        </w:r>
        <w:r>
          <w:instrText xml:space="preserve"> PAGE   \* MERGEFORMAT </w:instrText>
        </w:r>
        <w:r>
          <w:fldChar w:fldCharType="separate"/>
        </w:r>
        <w:r w:rsidR="003D044F">
          <w:rPr>
            <w:noProof/>
          </w:rPr>
          <w:t>3</w:t>
        </w:r>
        <w:r>
          <w:rPr>
            <w:noProof/>
          </w:rPr>
          <w:fldChar w:fldCharType="end"/>
        </w:r>
      </w:p>
    </w:sdtContent>
  </w:sdt>
  <w:p w14:paraId="56AE5C65" w14:textId="77777777" w:rsidR="009A28B5" w:rsidRDefault="009A28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34ADA"/>
    <w:multiLevelType w:val="hybridMultilevel"/>
    <w:tmpl w:val="A4643BCA"/>
    <w:lvl w:ilvl="0" w:tplc="552E443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56"/>
    <w:rsid w:val="0000549D"/>
    <w:rsid w:val="000120B9"/>
    <w:rsid w:val="0002257B"/>
    <w:rsid w:val="0004035D"/>
    <w:rsid w:val="000477EC"/>
    <w:rsid w:val="000553A1"/>
    <w:rsid w:val="00055C29"/>
    <w:rsid w:val="00072888"/>
    <w:rsid w:val="00075CA9"/>
    <w:rsid w:val="00076726"/>
    <w:rsid w:val="000814FD"/>
    <w:rsid w:val="00083210"/>
    <w:rsid w:val="000B4AE5"/>
    <w:rsid w:val="000B612B"/>
    <w:rsid w:val="000C08BD"/>
    <w:rsid w:val="000D7A40"/>
    <w:rsid w:val="000E36E7"/>
    <w:rsid w:val="000F0454"/>
    <w:rsid w:val="001239CA"/>
    <w:rsid w:val="00126AAF"/>
    <w:rsid w:val="00134EFB"/>
    <w:rsid w:val="00135D0E"/>
    <w:rsid w:val="00153EBB"/>
    <w:rsid w:val="0016013F"/>
    <w:rsid w:val="00193D56"/>
    <w:rsid w:val="0019456C"/>
    <w:rsid w:val="001A2988"/>
    <w:rsid w:val="001B3793"/>
    <w:rsid w:val="001D56B8"/>
    <w:rsid w:val="001F2B5F"/>
    <w:rsid w:val="00210D43"/>
    <w:rsid w:val="00212E41"/>
    <w:rsid w:val="00221B46"/>
    <w:rsid w:val="00226251"/>
    <w:rsid w:val="0026733E"/>
    <w:rsid w:val="00277420"/>
    <w:rsid w:val="00294ABE"/>
    <w:rsid w:val="002B61CA"/>
    <w:rsid w:val="002C3D6B"/>
    <w:rsid w:val="002E29AA"/>
    <w:rsid w:val="002E2A13"/>
    <w:rsid w:val="00303061"/>
    <w:rsid w:val="00314087"/>
    <w:rsid w:val="003143FC"/>
    <w:rsid w:val="00315320"/>
    <w:rsid w:val="00321648"/>
    <w:rsid w:val="00322EC2"/>
    <w:rsid w:val="0036351F"/>
    <w:rsid w:val="0036397F"/>
    <w:rsid w:val="00370C10"/>
    <w:rsid w:val="0038494E"/>
    <w:rsid w:val="00393F1A"/>
    <w:rsid w:val="003A5314"/>
    <w:rsid w:val="003A6216"/>
    <w:rsid w:val="003B2783"/>
    <w:rsid w:val="003C50DD"/>
    <w:rsid w:val="003D044F"/>
    <w:rsid w:val="003D0848"/>
    <w:rsid w:val="003E245B"/>
    <w:rsid w:val="003E7456"/>
    <w:rsid w:val="003F1482"/>
    <w:rsid w:val="004004AC"/>
    <w:rsid w:val="00432241"/>
    <w:rsid w:val="00442ED8"/>
    <w:rsid w:val="0045233B"/>
    <w:rsid w:val="00460C39"/>
    <w:rsid w:val="00461F44"/>
    <w:rsid w:val="004933F7"/>
    <w:rsid w:val="004953DC"/>
    <w:rsid w:val="004B0EBC"/>
    <w:rsid w:val="004B1E87"/>
    <w:rsid w:val="004C168E"/>
    <w:rsid w:val="004C2ABA"/>
    <w:rsid w:val="004C3BAE"/>
    <w:rsid w:val="004C631B"/>
    <w:rsid w:val="004F151B"/>
    <w:rsid w:val="004F73B1"/>
    <w:rsid w:val="00501DCE"/>
    <w:rsid w:val="00505D70"/>
    <w:rsid w:val="0051769E"/>
    <w:rsid w:val="00531218"/>
    <w:rsid w:val="00537981"/>
    <w:rsid w:val="005B3CB8"/>
    <w:rsid w:val="005B7955"/>
    <w:rsid w:val="005C3B4B"/>
    <w:rsid w:val="005D7B25"/>
    <w:rsid w:val="005E18E7"/>
    <w:rsid w:val="005E4D83"/>
    <w:rsid w:val="005E5AEB"/>
    <w:rsid w:val="005F1CC0"/>
    <w:rsid w:val="005F358B"/>
    <w:rsid w:val="005F424F"/>
    <w:rsid w:val="0060796F"/>
    <w:rsid w:val="006149D3"/>
    <w:rsid w:val="006210DB"/>
    <w:rsid w:val="00625619"/>
    <w:rsid w:val="00630356"/>
    <w:rsid w:val="00632C2C"/>
    <w:rsid w:val="00640CB9"/>
    <w:rsid w:val="00661EE4"/>
    <w:rsid w:val="00664489"/>
    <w:rsid w:val="006742EA"/>
    <w:rsid w:val="0069306E"/>
    <w:rsid w:val="00694D3B"/>
    <w:rsid w:val="006C0D84"/>
    <w:rsid w:val="006E5F99"/>
    <w:rsid w:val="006F5372"/>
    <w:rsid w:val="006F6FE6"/>
    <w:rsid w:val="00714CC8"/>
    <w:rsid w:val="00722AF6"/>
    <w:rsid w:val="0072465B"/>
    <w:rsid w:val="007430FA"/>
    <w:rsid w:val="007439EB"/>
    <w:rsid w:val="00746174"/>
    <w:rsid w:val="00761312"/>
    <w:rsid w:val="0076335B"/>
    <w:rsid w:val="00774615"/>
    <w:rsid w:val="007869FA"/>
    <w:rsid w:val="007E5765"/>
    <w:rsid w:val="007F24E3"/>
    <w:rsid w:val="0080426C"/>
    <w:rsid w:val="0080521C"/>
    <w:rsid w:val="00811B27"/>
    <w:rsid w:val="008249F3"/>
    <w:rsid w:val="0082760E"/>
    <w:rsid w:val="008308BC"/>
    <w:rsid w:val="00840FF9"/>
    <w:rsid w:val="00851DF0"/>
    <w:rsid w:val="00852BB2"/>
    <w:rsid w:val="008667B2"/>
    <w:rsid w:val="0087058E"/>
    <w:rsid w:val="00874DDB"/>
    <w:rsid w:val="008759B7"/>
    <w:rsid w:val="00876C50"/>
    <w:rsid w:val="008A77E5"/>
    <w:rsid w:val="008D3DDC"/>
    <w:rsid w:val="008F093C"/>
    <w:rsid w:val="00907C41"/>
    <w:rsid w:val="00930682"/>
    <w:rsid w:val="009313FB"/>
    <w:rsid w:val="009329A8"/>
    <w:rsid w:val="00947E94"/>
    <w:rsid w:val="00951450"/>
    <w:rsid w:val="00965C02"/>
    <w:rsid w:val="0096760B"/>
    <w:rsid w:val="00977176"/>
    <w:rsid w:val="00995C41"/>
    <w:rsid w:val="00996330"/>
    <w:rsid w:val="009A28B5"/>
    <w:rsid w:val="009A386B"/>
    <w:rsid w:val="009B349A"/>
    <w:rsid w:val="009B3713"/>
    <w:rsid w:val="009C535D"/>
    <w:rsid w:val="009C7AD1"/>
    <w:rsid w:val="009D1580"/>
    <w:rsid w:val="009F0318"/>
    <w:rsid w:val="00A14AA0"/>
    <w:rsid w:val="00A42BA2"/>
    <w:rsid w:val="00A62A85"/>
    <w:rsid w:val="00A766B0"/>
    <w:rsid w:val="00A91054"/>
    <w:rsid w:val="00A939F5"/>
    <w:rsid w:val="00A95679"/>
    <w:rsid w:val="00AA131A"/>
    <w:rsid w:val="00AD38C2"/>
    <w:rsid w:val="00AE0C65"/>
    <w:rsid w:val="00AE7881"/>
    <w:rsid w:val="00B25DA7"/>
    <w:rsid w:val="00B46B95"/>
    <w:rsid w:val="00B701F3"/>
    <w:rsid w:val="00B96B66"/>
    <w:rsid w:val="00BA5EFC"/>
    <w:rsid w:val="00BB61CD"/>
    <w:rsid w:val="00BC1C87"/>
    <w:rsid w:val="00BC58E1"/>
    <w:rsid w:val="00BE1C8E"/>
    <w:rsid w:val="00BE5A22"/>
    <w:rsid w:val="00C007FE"/>
    <w:rsid w:val="00C41D7A"/>
    <w:rsid w:val="00C424B6"/>
    <w:rsid w:val="00C54DA5"/>
    <w:rsid w:val="00C56D5C"/>
    <w:rsid w:val="00C62FBE"/>
    <w:rsid w:val="00C65639"/>
    <w:rsid w:val="00CA7379"/>
    <w:rsid w:val="00CB3E72"/>
    <w:rsid w:val="00CD5623"/>
    <w:rsid w:val="00CD570C"/>
    <w:rsid w:val="00CD65B1"/>
    <w:rsid w:val="00CE0139"/>
    <w:rsid w:val="00D10F4F"/>
    <w:rsid w:val="00D174F1"/>
    <w:rsid w:val="00D2385A"/>
    <w:rsid w:val="00D24EB8"/>
    <w:rsid w:val="00D35EB2"/>
    <w:rsid w:val="00D64EF8"/>
    <w:rsid w:val="00D75CA2"/>
    <w:rsid w:val="00D76852"/>
    <w:rsid w:val="00D77E8D"/>
    <w:rsid w:val="00D875EC"/>
    <w:rsid w:val="00D9384B"/>
    <w:rsid w:val="00DA2310"/>
    <w:rsid w:val="00DA2A56"/>
    <w:rsid w:val="00DB60F3"/>
    <w:rsid w:val="00DC0DE9"/>
    <w:rsid w:val="00DD17CF"/>
    <w:rsid w:val="00DD4BEB"/>
    <w:rsid w:val="00DD787F"/>
    <w:rsid w:val="00DF4CAB"/>
    <w:rsid w:val="00E11E85"/>
    <w:rsid w:val="00E14818"/>
    <w:rsid w:val="00E2345E"/>
    <w:rsid w:val="00E36E03"/>
    <w:rsid w:val="00E57166"/>
    <w:rsid w:val="00E62C05"/>
    <w:rsid w:val="00E96F0F"/>
    <w:rsid w:val="00EA1144"/>
    <w:rsid w:val="00EB5E28"/>
    <w:rsid w:val="00EE6855"/>
    <w:rsid w:val="00EF05E2"/>
    <w:rsid w:val="00F24781"/>
    <w:rsid w:val="00F25113"/>
    <w:rsid w:val="00F50056"/>
    <w:rsid w:val="00F5312F"/>
    <w:rsid w:val="00FC1D9E"/>
    <w:rsid w:val="00FD1EF7"/>
    <w:rsid w:val="00FD1F05"/>
    <w:rsid w:val="00FF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B668"/>
  <w15:chartTrackingRefBased/>
  <w15:docId w15:val="{9F6C1920-FB95-4D56-9FB7-BE365DB4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before="120" w:after="120"/>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D56"/>
    <w:pPr>
      <w:spacing w:before="0" w:after="0"/>
      <w:ind w:firstLine="0"/>
    </w:pPr>
    <w:rPr>
      <w:rFonts w:eastAsia="Times New Roman" w:cs="Times New Roman"/>
    </w:rPr>
  </w:style>
  <w:style w:type="paragraph" w:styleId="Heading1">
    <w:name w:val="heading 1"/>
    <w:basedOn w:val="Normal"/>
    <w:next w:val="Normal"/>
    <w:link w:val="Heading1Char"/>
    <w:qFormat/>
    <w:rsid w:val="00193D56"/>
    <w:pPr>
      <w:keepNext/>
      <w:jc w:val="center"/>
      <w:outlineLvl w:val="0"/>
    </w:pPr>
    <w:rPr>
      <w:b/>
      <w:bCs/>
      <w:sz w:val="26"/>
      <w:szCs w:val="24"/>
    </w:rPr>
  </w:style>
  <w:style w:type="paragraph" w:styleId="Heading2">
    <w:name w:val="heading 2"/>
    <w:basedOn w:val="Normal"/>
    <w:next w:val="Normal"/>
    <w:link w:val="Heading2Char"/>
    <w:qFormat/>
    <w:rsid w:val="00193D56"/>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D56"/>
    <w:rPr>
      <w:rFonts w:eastAsia="Times New Roman" w:cs="Times New Roman"/>
      <w:b/>
      <w:bCs/>
      <w:sz w:val="26"/>
      <w:szCs w:val="24"/>
    </w:rPr>
  </w:style>
  <w:style w:type="character" w:customStyle="1" w:styleId="Heading2Char">
    <w:name w:val="Heading 2 Char"/>
    <w:basedOn w:val="DefaultParagraphFont"/>
    <w:link w:val="Heading2"/>
    <w:rsid w:val="00193D56"/>
    <w:rPr>
      <w:rFonts w:eastAsia="Times New Roman" w:cs="Times New Roman"/>
      <w:b/>
      <w:bCs/>
      <w:szCs w:val="24"/>
    </w:rPr>
  </w:style>
  <w:style w:type="paragraph" w:styleId="BodyText">
    <w:name w:val="Body Text"/>
    <w:basedOn w:val="Normal"/>
    <w:link w:val="BodyTextChar"/>
    <w:rsid w:val="00193D56"/>
    <w:pPr>
      <w:jc w:val="both"/>
    </w:pPr>
    <w:rPr>
      <w:color w:val="000000"/>
    </w:rPr>
  </w:style>
  <w:style w:type="character" w:customStyle="1" w:styleId="BodyTextChar">
    <w:name w:val="Body Text Char"/>
    <w:basedOn w:val="DefaultParagraphFont"/>
    <w:link w:val="BodyText"/>
    <w:rsid w:val="00193D56"/>
    <w:rPr>
      <w:rFonts w:eastAsia="Times New Roman" w:cs="Times New Roman"/>
      <w:color w:val="000000"/>
    </w:rPr>
  </w:style>
  <w:style w:type="character" w:customStyle="1" w:styleId="fontstyle21">
    <w:name w:val="fontstyle21"/>
    <w:rsid w:val="00193D56"/>
    <w:rPr>
      <w:rFonts w:ascii="TimesNewRomanPSMT" w:hAnsi="TimesNewRomanPSMT" w:hint="default"/>
      <w:b w:val="0"/>
      <w:bCs w:val="0"/>
      <w:i w:val="0"/>
      <w:iCs w:val="0"/>
      <w:color w:val="000000"/>
      <w:sz w:val="24"/>
      <w:szCs w:val="24"/>
    </w:rPr>
  </w:style>
  <w:style w:type="character" w:customStyle="1" w:styleId="fontstyle31">
    <w:name w:val="fontstyle31"/>
    <w:rsid w:val="00193D56"/>
    <w:rPr>
      <w:rFonts w:ascii="TimesNewRomanPS-ItalicMT" w:hAnsi="TimesNewRomanPS-ItalicMT" w:hint="default"/>
      <w:b w:val="0"/>
      <w:bCs w:val="0"/>
      <w:i/>
      <w:iCs/>
      <w:color w:val="000000"/>
      <w:sz w:val="24"/>
      <w:szCs w:val="24"/>
    </w:rPr>
  </w:style>
  <w:style w:type="paragraph" w:styleId="Header">
    <w:name w:val="header"/>
    <w:basedOn w:val="Normal"/>
    <w:link w:val="HeaderChar"/>
    <w:uiPriority w:val="99"/>
    <w:unhideWhenUsed/>
    <w:rsid w:val="009A28B5"/>
    <w:pPr>
      <w:tabs>
        <w:tab w:val="center" w:pos="4680"/>
        <w:tab w:val="right" w:pos="9360"/>
      </w:tabs>
    </w:pPr>
  </w:style>
  <w:style w:type="character" w:customStyle="1" w:styleId="HeaderChar">
    <w:name w:val="Header Char"/>
    <w:basedOn w:val="DefaultParagraphFont"/>
    <w:link w:val="Header"/>
    <w:uiPriority w:val="99"/>
    <w:rsid w:val="009A28B5"/>
    <w:rPr>
      <w:rFonts w:eastAsia="Times New Roman" w:cs="Times New Roman"/>
    </w:rPr>
  </w:style>
  <w:style w:type="paragraph" w:styleId="Footer">
    <w:name w:val="footer"/>
    <w:basedOn w:val="Normal"/>
    <w:link w:val="FooterChar"/>
    <w:uiPriority w:val="99"/>
    <w:unhideWhenUsed/>
    <w:rsid w:val="009A28B5"/>
    <w:pPr>
      <w:tabs>
        <w:tab w:val="center" w:pos="4680"/>
        <w:tab w:val="right" w:pos="9360"/>
      </w:tabs>
    </w:pPr>
  </w:style>
  <w:style w:type="character" w:customStyle="1" w:styleId="FooterChar">
    <w:name w:val="Footer Char"/>
    <w:basedOn w:val="DefaultParagraphFont"/>
    <w:link w:val="Footer"/>
    <w:uiPriority w:val="99"/>
    <w:rsid w:val="009A28B5"/>
    <w:rPr>
      <w:rFonts w:eastAsia="Times New Roman" w:cs="Times New Roman"/>
    </w:rPr>
  </w:style>
  <w:style w:type="paragraph" w:styleId="BalloonText">
    <w:name w:val="Balloon Text"/>
    <w:basedOn w:val="Normal"/>
    <w:link w:val="BalloonTextChar"/>
    <w:uiPriority w:val="99"/>
    <w:semiHidden/>
    <w:unhideWhenUsed/>
    <w:rsid w:val="007E57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65"/>
    <w:rPr>
      <w:rFonts w:ascii="Segoe UI" w:eastAsia="Times New Roman" w:hAnsi="Segoe UI" w:cs="Segoe UI"/>
      <w:sz w:val="18"/>
      <w:szCs w:val="18"/>
    </w:rPr>
  </w:style>
  <w:style w:type="character" w:customStyle="1" w:styleId="fontstyle01">
    <w:name w:val="fontstyle01"/>
    <w:rsid w:val="002B61CA"/>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930682"/>
    <w:pPr>
      <w:ind w:left="720"/>
      <w:contextualSpacing/>
    </w:pPr>
  </w:style>
  <w:style w:type="character" w:styleId="Hyperlink">
    <w:name w:val="Hyperlink"/>
    <w:uiPriority w:val="99"/>
    <w:semiHidden/>
    <w:unhideWhenUsed/>
    <w:rsid w:val="00075CA9"/>
    <w:rPr>
      <w:color w:val="0000FF"/>
      <w:u w:val="single"/>
    </w:rPr>
  </w:style>
  <w:style w:type="character" w:customStyle="1" w:styleId="Bodytext2">
    <w:name w:val="Body text (2)"/>
    <w:rsid w:val="000C08BD"/>
    <w:rPr>
      <w:rFonts w:ascii="Times New Roman" w:hAnsi="Times New Roman"/>
      <w:color w:val="000000"/>
      <w:spacing w:val="0"/>
      <w:w w:val="100"/>
      <w:position w:val="0"/>
      <w:sz w:val="26"/>
      <w:u w:val="none"/>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E69CB-E5AF-404F-9B4B-4034B1A2E268}"/>
</file>

<file path=customXml/itemProps2.xml><?xml version="1.0" encoding="utf-8"?>
<ds:datastoreItem xmlns:ds="http://schemas.openxmlformats.org/officeDocument/2006/customXml" ds:itemID="{065286D9-5C5A-4E29-82DB-89218B2AC714}"/>
</file>

<file path=customXml/itemProps3.xml><?xml version="1.0" encoding="utf-8"?>
<ds:datastoreItem xmlns:ds="http://schemas.openxmlformats.org/officeDocument/2006/customXml" ds:itemID="{F2E08E8A-DED2-493E-A59C-EDC227BE0D2A}"/>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Trịnh Thị Trang</dc:creator>
  <cp:keywords/>
  <dc:description/>
  <cp:lastModifiedBy>User</cp:lastModifiedBy>
  <cp:revision>3</cp:revision>
  <cp:lastPrinted>2024-10-25T09:27:00Z</cp:lastPrinted>
  <dcterms:created xsi:type="dcterms:W3CDTF">2024-12-16T03:16:00Z</dcterms:created>
  <dcterms:modified xsi:type="dcterms:W3CDTF">2024-12-16T03:18:00Z</dcterms:modified>
</cp:coreProperties>
</file>